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271" w:tblpY="2148"/>
        <w:tblOverlap w:val="never"/>
        <w:tblW w:w="164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2268"/>
        <w:gridCol w:w="4105"/>
        <w:gridCol w:w="3686"/>
        <w:gridCol w:w="2700"/>
        <w:gridCol w:w="2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</w:trPr>
        <w:tc>
          <w:tcPr>
            <w:tcW w:w="12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1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三级指标（参考）</w:t>
            </w:r>
          </w:p>
        </w:tc>
        <w:tc>
          <w:tcPr>
            <w:tcW w:w="36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27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2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</w:rPr>
              <w:t>A11决策制度的规范性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决策制度是否符合各项规定要求</w:t>
            </w:r>
            <w:r>
              <w:rPr>
                <w:rFonts w:hint="eastAsia"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单位决策工作流程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A12决策流程的科学性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决策流程安排是否科学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单位决策工作流程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A13决策执行监督制衡机制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决策执行的分工是否合理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单位决策工作流程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A21中长期规划明确性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中长期规划的具体安排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中长期规划目标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A22中长期规划与部门职能的匹配性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中长期规划与单位职能的对照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中长期规划目标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A3年度工作计划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A31年度工作计划明确性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年度工作计划与具体工作的对照性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年度工作安排计划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A32年度工作计划与部门职能的匹配性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工作计划与职能的对应性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单位职能与年度工作计划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A41预算编制科学规范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预算编制项目合规性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A42预算编制与重点工作任务的匹配性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预算编制重点工作分解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B部门管理（20分）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B1预算执行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B11部门预算执行率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  <w:lang w:val="en-US" w:eastAsia="zh-CN"/>
              </w:rPr>
              <w:t>资金执行情况表</w:t>
            </w: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B12专项资金执行率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  <w:lang w:val="en-US" w:eastAsia="zh-CN"/>
              </w:rPr>
              <w:t>资金执行情况表</w:t>
            </w: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B13“三公”经费控制率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  <w:lang w:val="en-US" w:eastAsia="zh-CN"/>
              </w:rPr>
              <w:t>三公支出明细</w:t>
            </w: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B14预决算信息公开情况 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提供截图或者照片进行佐证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B21收支管理制度健全性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相关制度覆盖情况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单位内部管理制度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B22收支管理是否按制度执行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制度执行情况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相关收支工作流程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B31资产管理制度健全性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相关制度覆盖情况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单位内部管理制度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B32资产管理是否按制度执行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制度执行情况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相关资产管理流程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B41政府采购管理制度健全性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相关制度覆盖情况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单位内部管理制度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B42政府采购管理是否按制度执行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制度执行情况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相关政府采购执行情况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B5建设项目管理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B51建设项目管理制度健全性</w:t>
            </w:r>
          </w:p>
        </w:tc>
        <w:tc>
          <w:tcPr>
            <w:tcW w:w="368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此项指标根据各个单位具体职能选择是否适用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单位不涉及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B52建设项目管理是否按制度执行</w:t>
            </w:r>
          </w:p>
        </w:tc>
        <w:tc>
          <w:tcPr>
            <w:tcW w:w="368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单位不涉及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B61内部控制建设情况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内部控制建设完成情况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是否有内部控制制度落实在手册等文本上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B62内部控制执行情况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内部控制执行进展情况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通过重新执行程序评价内控是否有效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B63内部控制监督评价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内部控制监督评价覆盖程度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是否有单位内部内控评价报告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B71组织管理情况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B72工作开展情况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包含事前评估、目标管理、跟踪评价、自评价和整改落实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考察政策（项目）是否有5个报告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B73绩效信息公开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C部门履职(选方式2：部门职能履职情况)（30分）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C1重点工作1完成情况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规费征收工作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规费征收企业统计到位情况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规费征收工作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规费是否足额收缴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规费征收工作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完成时效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征缴是否及时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及时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C2重点工作2完成情况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水资源管理重点工作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取水计划管理、取水计量监督管理工作、节水评价和非常规水利用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按年初计划完成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水资源管理重点工作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取水计划管理、取水计量监督管理工作、节水评价和非常规水利用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仿宋" w:hAnsi="仿宋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核定机制、水资源管理信息系统南京分中心测站度平均在线率、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重点企业用水审计、奖励非常规水利用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水资源管理重点工作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完成时效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取水计划管理、取水计量监督管理工作、节水评价和非常规水利用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both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季度巡查、定期检测备案制度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C3重点工作3完成情况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水土保持管理重点工作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建设项目水土保持许可工作、生产建设项目扰动图斑现场复核工作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在建项目全覆盖监督检查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水土保持管理重点工作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建设项目水土保持许可工作、生产建设项目扰动图斑现场复核工作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有效管控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水土保持管理重点工作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完成时效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建设项目水土保持许可工作、生产建设项目扰动图斑现场复核工作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按期完成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D履职绩效（30分）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规费及时足额上缴国库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非税收入征收上缴数额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及时上缴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提高企业节水技改的积极性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促进企业科学用水，积极节水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通过系列宣传活动取得良好社会效益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企业节水技改的完成情况、宣传的达成效果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取水企业非常规水利用成果、节水宣传参与度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落实节水优先、强化水资源管理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控制各种新的水土流失的产生，遏制水土流失的发展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取水量的计划管理、生产建设单位水土保持的完成情况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水资源检查结果、水土保持检查结果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落实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征收优惠政策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及相关奖补、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积极办理“12345”等各类督办和举报案件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对服务管理对象和社会公众的宣传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</w:rPr>
              <w:t>包含服务对象、管理对象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</w:rPr>
              <w:t>根据部门（单位）只能确定满意度的调查对象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E1信息化建设情况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1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单位内部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OA系统、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　建立数据库进行水土保持业务动态管理</w:t>
            </w:r>
          </w:p>
        </w:tc>
        <w:tc>
          <w:tcPr>
            <w:tcW w:w="36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27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内网行文使用情况</w:t>
            </w:r>
          </w:p>
        </w:tc>
        <w:tc>
          <w:tcPr>
            <w:tcW w:w="2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E2人力资源建设情况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等线" w:hAnsi="等线" w:eastAsia="仿宋_GB2312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强化队伍建设、搭建发展平台、绩效考核调动全体干部职工的积极性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单位用人考核机制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E3部门创新情况（可选）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2"/>
                <w:lang w:eastAsia="zh-CN"/>
              </w:rPr>
              <w:t>水资源管理方法创新、水土保持管理创新、宣传方式创新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……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26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F加减分项（≤5分）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F1加分项</w:t>
            </w: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  <w:r>
              <w:rPr>
                <w:rFonts w:hint="default" w:ascii="仿宋" w:hAnsi="仿宋" w:cs="宋体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受到国务院嘉奖加3分，受到省级嘉奖加2分，得到市级考核一等奖加1分，得到市级考核二等奖加0.5分；同一项工作不累计加分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left"/>
              <w:rPr>
                <w:rFonts w:hint="eastAsia" w:ascii="Times New Roman" w:hAnsi="Times New Roman" w:eastAsia="仿宋" w:cstheme="minorBidi"/>
                <w:kern w:val="2"/>
                <w:sz w:val="28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总分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" w:cstheme="minorBidi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2"/>
                <w:lang w:val="en-US" w:eastAsia="zh-CN" w:bidi="ar-SA"/>
              </w:rPr>
              <w:t>99</w:t>
            </w:r>
          </w:p>
        </w:tc>
      </w:tr>
    </w:tbl>
    <w:p>
      <w:pPr>
        <w:ind w:firstLine="198" w:firstLineChars="71"/>
      </w:pPr>
      <w:r>
        <w:rPr>
          <w:rFonts w:hint="eastAsia"/>
        </w:rPr>
        <w:t>附件1：部门整体绩效评价指标框架</w:t>
      </w:r>
    </w:p>
    <w:p>
      <w:pPr>
        <w:ind w:firstLine="560"/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81" w:charSpace="0"/>
        </w:sectPr>
      </w:pPr>
      <w:bookmarkStart w:id="0" w:name="_GoBack"/>
      <w:bookmarkEnd w:id="0"/>
    </w:p>
    <w:p>
      <w:pPr>
        <w:ind w:firstLine="560"/>
      </w:pPr>
    </w:p>
    <w:sectPr>
      <w:type w:val="continuous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11657C"/>
    <w:multiLevelType w:val="multilevel"/>
    <w:tmpl w:val="4511657C"/>
    <w:lvl w:ilvl="0" w:tentative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A3ODQ3Nzg2OTRiMTViNWZhOWY2N2MxMjViNjMxOTQifQ=="/>
  </w:docVars>
  <w:rsids>
    <w:rsidRoot w:val="000C16A9"/>
    <w:rsid w:val="000C16A9"/>
    <w:rsid w:val="00357A17"/>
    <w:rsid w:val="004B583D"/>
    <w:rsid w:val="00512674"/>
    <w:rsid w:val="005C0B62"/>
    <w:rsid w:val="007067E1"/>
    <w:rsid w:val="0087719C"/>
    <w:rsid w:val="00900663"/>
    <w:rsid w:val="00974713"/>
    <w:rsid w:val="009A20F7"/>
    <w:rsid w:val="00AF51CB"/>
    <w:rsid w:val="00B229A3"/>
    <w:rsid w:val="00B5670C"/>
    <w:rsid w:val="00C34783"/>
    <w:rsid w:val="00C667FF"/>
    <w:rsid w:val="00E32E69"/>
    <w:rsid w:val="00E334C8"/>
    <w:rsid w:val="00E86EA7"/>
    <w:rsid w:val="19AF2B4F"/>
    <w:rsid w:val="20A97283"/>
    <w:rsid w:val="446C0D4D"/>
    <w:rsid w:val="479F6B95"/>
    <w:rsid w:val="5B760765"/>
    <w:rsid w:val="5C710860"/>
    <w:rsid w:val="6DC80571"/>
    <w:rsid w:val="7CEF096D"/>
    <w:rsid w:val="7D6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numPr>
        <w:ilvl w:val="0"/>
        <w:numId w:val="1"/>
      </w:numPr>
      <w:spacing w:before="60" w:after="60"/>
      <w:ind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tabs>
        <w:tab w:val="left" w:pos="720"/>
      </w:tabs>
      <w:ind w:left="720" w:firstLine="0" w:firstLineChars="0"/>
      <w:outlineLvl w:val="1"/>
    </w:pPr>
    <w:rPr>
      <w:rFonts w:eastAsia="黑体" w:asciiTheme="majorHAnsi" w:hAnsiTheme="majorHAnsi" w:cstheme="majorBidi"/>
      <w:bCs/>
      <w:sz w:val="30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9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10">
    <w:name w:val="标题 2 字符"/>
    <w:basedOn w:val="8"/>
    <w:link w:val="3"/>
    <w:qFormat/>
    <w:uiPriority w:val="9"/>
    <w:rPr>
      <w:rFonts w:eastAsia="黑体" w:asciiTheme="majorHAnsi" w:hAnsiTheme="majorHAnsi" w:cstheme="majorBidi"/>
      <w:bCs/>
      <w:sz w:val="30"/>
      <w:szCs w:val="32"/>
    </w:rPr>
  </w:style>
  <w:style w:type="character" w:customStyle="1" w:styleId="11">
    <w:name w:val="页眉 字符"/>
    <w:basedOn w:val="8"/>
    <w:link w:val="6"/>
    <w:qFormat/>
    <w:uiPriority w:val="99"/>
    <w:rPr>
      <w:rFonts w:ascii="Times New Roman" w:hAnsi="Times New Roman" w:eastAsia="仿宋"/>
      <w:sz w:val="18"/>
      <w:szCs w:val="18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仿宋"/>
      <w:sz w:val="18"/>
      <w:szCs w:val="18"/>
    </w:rPr>
  </w:style>
  <w:style w:type="character" w:customStyle="1" w:styleId="13">
    <w:name w:val="批注框文本 字符"/>
    <w:basedOn w:val="8"/>
    <w:link w:val="4"/>
    <w:semiHidden/>
    <w:qFormat/>
    <w:uiPriority w:val="99"/>
    <w:rPr>
      <w:rFonts w:ascii="Times New Roman" w:hAnsi="Times New Roman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2146</Words>
  <Characters>2241</Characters>
  <Lines>12</Lines>
  <Paragraphs>3</Paragraphs>
  <TotalTime>8</TotalTime>
  <ScaleCrop>false</ScaleCrop>
  <LinksUpToDate>false</LinksUpToDate>
  <CharactersWithSpaces>2277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2020-05-26T06:37:00Z</dcterms:created>
  <dc:creator>z lightman</dc:creator>
  <cp:lastModifiedBy>余生不用指教</cp:lastModifiedBy>
  <cp:lastPrinted>2021-09-23T03:56:00Z</cp:lastPrinted>
  <dcterms:modified xsi:type="dcterms:W3CDTF">2024-06-25T08:35:06Z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C6B924EC0EA04A34B3D2751D1BF58E98</vt:lpwstr>
  </property>
</Properties>
</file>