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A9" w:rsidRPr="00A37068" w:rsidRDefault="005C0B62" w:rsidP="005C0B62">
      <w:pPr>
        <w:ind w:firstLineChars="71" w:firstLine="199"/>
      </w:pPr>
      <w:r w:rsidRPr="00A37068">
        <w:rPr>
          <w:rFonts w:hint="eastAsia"/>
        </w:rPr>
        <w:t>附件</w:t>
      </w:r>
      <w:r w:rsidRPr="00A37068">
        <w:rPr>
          <w:rFonts w:hint="eastAsia"/>
        </w:rPr>
        <w:t>1</w:t>
      </w:r>
      <w:r w:rsidRPr="00A37068">
        <w:rPr>
          <w:rFonts w:hint="eastAsia"/>
        </w:rPr>
        <w:t>：部门整体绩效评价指标框架</w:t>
      </w:r>
      <w:r w:rsidR="001B50BE" w:rsidRPr="00A37068">
        <w:rPr>
          <w:rFonts w:hint="eastAsia"/>
        </w:rPr>
        <w:t>及得分情况</w:t>
      </w:r>
    </w:p>
    <w:p w:rsidR="005C0B62" w:rsidRPr="00A37068" w:rsidRDefault="005C0B62" w:rsidP="005C0B62">
      <w:pPr>
        <w:ind w:firstLine="560"/>
        <w:sectPr w:rsidR="005C0B62" w:rsidRPr="00A37068" w:rsidSect="002C5B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588" w:right="1134" w:bottom="1588" w:left="1134" w:header="851" w:footer="992" w:gutter="0"/>
          <w:cols w:space="425"/>
          <w:docGrid w:type="lines" w:linePitch="381"/>
        </w:sectPr>
      </w:pPr>
    </w:p>
    <w:tbl>
      <w:tblPr>
        <w:tblW w:w="15971" w:type="dxa"/>
        <w:jc w:val="center"/>
        <w:tblLayout w:type="fixed"/>
        <w:tblLook w:val="04A0"/>
      </w:tblPr>
      <w:tblGrid>
        <w:gridCol w:w="1266"/>
        <w:gridCol w:w="2010"/>
        <w:gridCol w:w="4394"/>
        <w:gridCol w:w="3834"/>
        <w:gridCol w:w="3759"/>
        <w:gridCol w:w="708"/>
      </w:tblGrid>
      <w:tr w:rsidR="001F2885" w:rsidRPr="00A37068" w:rsidTr="005D4A84">
        <w:trPr>
          <w:trHeight w:val="600"/>
          <w:tblHeader/>
          <w:jc w:val="center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885" w:rsidRPr="00A37068" w:rsidRDefault="001F2885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885" w:rsidRPr="00A37068" w:rsidRDefault="001F2885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885" w:rsidRPr="00A37068" w:rsidRDefault="001F2885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885" w:rsidRPr="00A37068" w:rsidRDefault="001F2885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2885" w:rsidRPr="00A37068" w:rsidRDefault="001F2885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F2885" w:rsidRPr="00A37068" w:rsidRDefault="001F2885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>评分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2"/>
              </w:rPr>
            </w:pPr>
            <w:r w:rsidRPr="00A37068">
              <w:rPr>
                <w:rFonts w:ascii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 w:rsidRPr="00A37068">
              <w:rPr>
                <w:rFonts w:ascii="仿宋" w:hAnsi="仿宋" w:cs="宋体" w:hint="eastAsia"/>
                <w:kern w:val="0"/>
                <w:sz w:val="22"/>
              </w:rPr>
              <w:t>1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</w:t>
            </w:r>
            <w:proofErr w:type="gramStart"/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3</w:t>
            </w:r>
            <w:proofErr w:type="gramEnd"/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</w:t>
            </w:r>
            <w:proofErr w:type="gramStart"/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31</w:t>
            </w:r>
            <w:proofErr w:type="gramEnd"/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</w:t>
            </w:r>
            <w:proofErr w:type="gramStart"/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32</w:t>
            </w:r>
            <w:proofErr w:type="gramEnd"/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3F75D6" w:rsidRPr="00A37068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5D6" w:rsidRPr="00A37068" w:rsidRDefault="003F75D6" w:rsidP="003F75D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5D6" w:rsidRPr="00A37068" w:rsidRDefault="003F75D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37068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9D540E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9D540E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 w:rsidRPr="002C6D1A"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C6C4B" w:rsidRPr="002C6D1A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2C6C4B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C6C4B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6C4B" w:rsidRPr="00847DC4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B5建设项目管理（适用）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38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4B" w:rsidRPr="002C6D1A" w:rsidRDefault="002C6C4B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4B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不适用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38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不适用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包含事前评估、目标管理、跟踪评价、</w:t>
            </w:r>
            <w:proofErr w:type="gramStart"/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自评价</w:t>
            </w:r>
            <w:proofErr w:type="gramEnd"/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和整改落实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6B086D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53EA9" w:rsidRPr="00847DC4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2C6C4B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2C6D1A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E53EA9" w:rsidRPr="00847DC4" w:rsidTr="005D4A84">
        <w:trPr>
          <w:trHeight w:val="600"/>
          <w:jc w:val="center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C部门履职(可选方式2：部门职能履职情况)（30分）</w:t>
            </w: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F00EA8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C1</w:t>
            </w:r>
            <w:r w:rsidR="00486F86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供水行业管理工作</w:t>
            </w:r>
            <w:r w:rsidR="00E53EA9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完成情况</w:t>
            </w:r>
          </w:p>
          <w:p w:rsidR="00E53EA9" w:rsidRPr="002C6D1A" w:rsidRDefault="00E53EA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2C6D1A" w:rsidRDefault="00E53EA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供水行业管理工作是否完成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3EA9" w:rsidRPr="00847DC4" w:rsidRDefault="005D4A84" w:rsidP="00767255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加强全市供水行业监管和指导，切实保障全市饮用水安全；积极推进供水基础设施建设；树牢</w:t>
            </w:r>
            <w:proofErr w:type="gramStart"/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安全发展</w:t>
            </w:r>
            <w:proofErr w:type="gramEnd"/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理念，落实安全生产责任制，完成省市安全生</w:t>
            </w: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产督导考核等涉及本单位的相关工作任务；组织开展供水行业应急预案演练；组织开展行业职业技能竞赛。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EA9" w:rsidRPr="00767255" w:rsidRDefault="00E53EA9" w:rsidP="00E51A46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已完成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EA9" w:rsidRPr="00767255" w:rsidRDefault="00E53EA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F57E2C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供水行业管理工作完成质量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767255" w:rsidP="005D4A84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加强全市供水行业监管和指导，切实保障全市饮用水安全；积极推进供水基础设施建设；树牢</w:t>
            </w:r>
            <w:proofErr w:type="gramStart"/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安全发展</w:t>
            </w:r>
            <w:proofErr w:type="gramEnd"/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理念，落实安全生产责任制，完成省市安全生</w:t>
            </w: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产督导考核等涉及本单位的相关工作任务；组织开展供水行业应急预案演练；组织开展行业</w:t>
            </w: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职业技能竞赛。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A84" w:rsidRPr="00767255" w:rsidRDefault="005D4A84" w:rsidP="003C09F8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1、</w:t>
            </w:r>
            <w:r w:rsidR="00767255"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完成冬季防冻、夏季高峰供水、节假日</w:t>
            </w:r>
            <w:r w:rsidR="003C09F8"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等</w:t>
            </w:r>
            <w:r w:rsidR="00767255"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各类</w:t>
            </w:r>
            <w:r w:rsidR="003C09F8"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重要时段供水安全保障工作。</w:t>
            </w:r>
          </w:p>
          <w:p w:rsidR="00886423" w:rsidRDefault="005D4A84" w:rsidP="003C09F8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2、</w:t>
            </w:r>
            <w:r w:rsidR="00767255"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推进供水基础设施建设，本年度全市累计完成供水管线新建改造共43公里，完成投资3.03亿元。</w:t>
            </w:r>
          </w:p>
          <w:p w:rsidR="005D4A84" w:rsidRPr="00767255" w:rsidRDefault="005D4A84" w:rsidP="003C09F8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3、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全年共开展行业安全生产督导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检查39次，发现87处问题和隐患，均已督促供水企业整改到位。</w:t>
            </w:r>
          </w:p>
          <w:p w:rsidR="003C09F8" w:rsidRPr="00886423" w:rsidRDefault="005D4A84" w:rsidP="003C09F8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4、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编制《南京市应急水源供水应急预案》、《南京市应急水源地管理办法》、《南京市供水节水指导中心2023年安全生产工作要点清单》等应急预案和规章制度。在南京水务集团龙潭水厂组织开展了南京市供水</w:t>
            </w:r>
            <w:proofErr w:type="gramStart"/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行业漏氯事故</w:t>
            </w:r>
            <w:proofErr w:type="gramEnd"/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应急预案演练，切实提升了全市供水行业安全生产水平。</w:t>
            </w:r>
            <w:r w:rsidR="006E4AFD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顺利开展水</w:t>
            </w:r>
            <w:proofErr w:type="gramStart"/>
            <w:r w:rsidR="006E4AFD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="006E4AFD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行业供排水泵站运行工技能竞赛</w:t>
            </w:r>
          </w:p>
          <w:p w:rsidR="00886423" w:rsidRPr="00886423" w:rsidRDefault="005D4A84" w:rsidP="006E4AFD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5、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加强供水科学研究，提升行业管理创新能力</w:t>
            </w:r>
            <w:r w:rsid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牵头编制《南京市公共供水管网漏损控制实施方案》</w:t>
            </w:r>
            <w:r w:rsid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推进水</w:t>
            </w:r>
            <w:proofErr w:type="gramStart"/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科技项目《不同水源自来水厂工艺处理效果分析与优化运行研究》、《城市水务行业安全生产标准化企业评价办法与标准研究》等</w:t>
            </w:r>
            <w:r w:rsid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完成《江苏省城市供水服务质量标准》的修编工作并顺利</w:t>
            </w:r>
            <w:proofErr w:type="gramStart"/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通过省住建</w:t>
            </w:r>
            <w:proofErr w:type="gramEnd"/>
            <w:r w:rsidR="00886423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厅的审查。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F57E2C" w:rsidRPr="006E4AFD" w:rsidRDefault="00F57E2C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F57E2C" w:rsidRPr="00767255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供水行业管理工作完成时效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767255" w:rsidP="00902D7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加强全市供水行业监管和指导，切实保障全市饮用水安全；积极推进供水基础设施建设；树牢</w:t>
            </w:r>
            <w:proofErr w:type="gramStart"/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安全发展</w:t>
            </w:r>
            <w:proofErr w:type="gramEnd"/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t>理念，落实安全生产责任制，完成省市安全生</w:t>
            </w: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产督导考核等涉及本单位的相关工作任务；组织开展供水行业应急预案演练；组织开展行业职业技能竞赛。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2C" w:rsidRPr="00767255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按时完成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C" w:rsidRPr="00767255" w:rsidRDefault="005D4A8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767255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F57E2C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spacing w:line="560" w:lineRule="exact"/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C2节水行业管理工作完成情况</w:t>
            </w:r>
          </w:p>
          <w:p w:rsidR="00F57E2C" w:rsidRPr="002C6D1A" w:rsidRDefault="00F57E2C" w:rsidP="00F30D93">
            <w:pPr>
              <w:spacing w:line="560" w:lineRule="exact"/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节水行业管理工作是否完成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387340" w:rsidP="00072587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加强对非居民用户用水管理工作，积极推进节水型载体创建工作，开展形式多样的主题节水宣传活动</w:t>
            </w:r>
            <w:r w:rsidR="000B1539"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="00072587"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开展创新研究，引领节水示范，</w:t>
            </w:r>
            <w:r w:rsidR="006D5080"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按要求完成用水审计、</w:t>
            </w:r>
            <w:r w:rsidR="006444C9">
              <w:rPr>
                <w:rFonts w:ascii="仿宋" w:hAnsi="仿宋" w:cs="宋体" w:hint="eastAsia"/>
                <w:kern w:val="0"/>
                <w:sz w:val="24"/>
                <w:szCs w:val="24"/>
              </w:rPr>
              <w:t>完成</w:t>
            </w:r>
            <w:r w:rsidR="000B1539"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合同节水</w:t>
            </w:r>
            <w:r w:rsidR="006444C9">
              <w:rPr>
                <w:rFonts w:ascii="仿宋" w:hAnsi="仿宋" w:cs="宋体" w:hint="eastAsia"/>
                <w:kern w:val="0"/>
                <w:sz w:val="24"/>
                <w:szCs w:val="24"/>
              </w:rPr>
              <w:t>项目和建设项目雨水系统备案</w:t>
            </w:r>
            <w:r w:rsidR="000B1539"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2C" w:rsidRPr="006E4AFD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已完成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C" w:rsidRPr="006E4AFD" w:rsidRDefault="00F57E2C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6444C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4C9" w:rsidRPr="00847DC4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4C9" w:rsidRPr="00847DC4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4C9" w:rsidRPr="002C6D1A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节水行业管理工作完成质量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4C9" w:rsidRPr="00847DC4" w:rsidRDefault="006444C9" w:rsidP="00FD65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加强对非居民用户用水管理工作，积极推进节水型载体创建工作，开展形式多样的主题节水宣传活动，开展创新研究，引领节水示范，按要求完成用水审计、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完成</w:t>
            </w: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合同节水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项目和建设项目雨水系统备案</w:t>
            </w: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4C9" w:rsidRPr="00507EE8" w:rsidRDefault="006444C9" w:rsidP="00007424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1、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圆满完成2023年用水定额下达任务</w:t>
            </w: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  <w:p w:rsidR="00507EE8" w:rsidRPr="006D4986" w:rsidRDefault="006444C9" w:rsidP="00007424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2、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完成6</w:t>
            </w:r>
            <w:r w:rsidR="006961A3">
              <w:rPr>
                <w:rFonts w:ascii="仿宋" w:hAnsi="仿宋" w:cs="宋体" w:hint="eastAsia"/>
                <w:kern w:val="0"/>
                <w:sz w:val="24"/>
                <w:szCs w:val="24"/>
              </w:rPr>
              <w:t>所水利部节水型高校、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20个市级节水型小区的创建工作</w:t>
            </w:r>
            <w:r w:rsidR="006961A3">
              <w:rPr>
                <w:rFonts w:ascii="仿宋" w:hAnsi="仿宋" w:cs="宋体" w:hint="eastAsia"/>
                <w:kern w:val="0"/>
                <w:sz w:val="24"/>
                <w:szCs w:val="24"/>
              </w:rPr>
              <w:t>，完成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1家节水型学校、2个节水技改项目、3家市级节水型企业、4家节水型单位和1家</w:t>
            </w:r>
            <w:proofErr w:type="gramStart"/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省级水效领跑</w:t>
            </w:r>
            <w:proofErr w:type="gramEnd"/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者的申报工作</w:t>
            </w: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  <w:p w:rsidR="006444C9" w:rsidRPr="00507EE8" w:rsidRDefault="006444C9" w:rsidP="00007424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D4986">
              <w:rPr>
                <w:rFonts w:ascii="仿宋" w:hAnsi="仿宋" w:cs="宋体" w:hint="eastAsia"/>
                <w:kern w:val="0"/>
                <w:sz w:val="24"/>
                <w:szCs w:val="24"/>
              </w:rPr>
              <w:t>3、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拍摄制作节水微视频，充分发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挥各级广电媒体的宣传优势，在省级媒体发布报道4篇、在全国节约用水办公室网站发布信息11</w:t>
            </w:r>
            <w:r w:rsid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篇。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做好“3.22世界水日”和5.15全国节水宣传周宣传工作。开展了“大手拉小手，节水宣传进校园”、节水书画、小记者手抄报征集、节水服务进社区等系列活动。</w:t>
            </w:r>
          </w:p>
          <w:p w:rsidR="006444C9" w:rsidRPr="00507EE8" w:rsidRDefault="006444C9" w:rsidP="00007424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D4986">
              <w:rPr>
                <w:rFonts w:ascii="仿宋" w:hAnsi="仿宋" w:cs="宋体" w:hint="eastAsia"/>
                <w:kern w:val="0"/>
                <w:sz w:val="24"/>
                <w:szCs w:val="24"/>
              </w:rPr>
              <w:t>4、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开展南京市节水型地铁车站（车辆基地）评价标准项目。通过调研南京市及国内地铁车站用水情况，构建南京市节水型地铁车站（车辆基地）建设标准体系，对地铁行业的节水建设具有指导意义。</w:t>
            </w:r>
          </w:p>
          <w:p w:rsidR="006444C9" w:rsidRPr="00847DC4" w:rsidRDefault="006444C9" w:rsidP="00F1192D">
            <w:pPr>
              <w:ind w:firstLineChars="0" w:firstLine="0"/>
              <w:rPr>
                <w:rFonts w:ascii="仿宋_GB2312" w:eastAsia="仿宋_GB2312" w:hAnsi="仿宋" w:cs="Times New Roman"/>
                <w:color w:val="FF0000"/>
                <w:sz w:val="32"/>
                <w:szCs w:val="32"/>
              </w:rPr>
            </w:pP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5、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制定《南京市非居民用户节水核查操作规程》，完成370家单位的节水核查</w:t>
            </w:r>
            <w:r w:rsidR="00F8519F"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修漏节水量约300万</w:t>
            </w:r>
            <w:r w:rsid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M</w:t>
            </w:r>
            <w:r w:rsidR="00F1192D">
              <w:rPr>
                <w:rFonts w:ascii="仿宋" w:hAnsi="仿宋" w:cs="宋体" w:hint="eastAsia"/>
                <w:kern w:val="0"/>
                <w:sz w:val="24"/>
                <w:szCs w:val="24"/>
                <w:vertAlign w:val="superscript"/>
              </w:rPr>
              <w:t>3</w:t>
            </w:r>
            <w:r w:rsidR="00507EE8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/年，完成1家合同节水项目、指导19个建设项目雨水系统备案。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73D5F" w:rsidRDefault="00473D5F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6444C9" w:rsidRPr="006961A3" w:rsidRDefault="006444C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961A3">
              <w:rPr>
                <w:rFonts w:ascii="仿宋" w:hAnsi="仿宋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6444C9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4C9" w:rsidRPr="00847DC4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44C9" w:rsidRPr="00847DC4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4C9" w:rsidRPr="002C6D1A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节水行业管理工作完成时效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4C9" w:rsidRPr="00847DC4" w:rsidRDefault="006444C9" w:rsidP="00FD656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加强对非居民用户用水管理工作，积极推进节水型载体创建工作，开展形式多样的主题节水宣传活动，开展创新研究，引领节水示范，按</w:t>
            </w: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要求完成用水审计、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完成</w:t>
            </w: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合同节水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项目和建设项目雨水系统备案</w:t>
            </w:r>
            <w:r w:rsidRPr="00072587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4C9" w:rsidRPr="006E4AFD" w:rsidRDefault="006444C9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 xml:space="preserve">　按时完成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4C9" w:rsidRPr="006E4AFD" w:rsidRDefault="006444C9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F57E2C" w:rsidRPr="006E4AFD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C3水质监管工作完成情况</w:t>
            </w:r>
          </w:p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水质监管工作是否完成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F1192D" w:rsidRDefault="004F694D" w:rsidP="00202500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加强供水水质行业监管，</w:t>
            </w:r>
            <w:r w:rsidR="005F0A07"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加大水质监测力度，进一步加强水质在线监测点的监管，提高测量质量，</w:t>
            </w:r>
            <w:r w:rsidR="00202500"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及时报送水质公示信息，</w:t>
            </w:r>
            <w:r w:rsidR="005F0A07"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规范执行水质公示制度。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2C" w:rsidRPr="00F1192D" w:rsidRDefault="00F57E2C" w:rsidP="00FA3D28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已完成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C" w:rsidRPr="006E4AFD" w:rsidRDefault="00F57E2C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F57E2C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水质监管工作完成质量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F1192D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加强供水水质行业监管，加大水质监测力度，进一步加强水质在线监测点的监管，提高测量质量，及时报送水质公示信息，规范执行水质公示制度。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8C12F4" w:rsidP="00F1192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加大水质检测力度，及时做好信息公开，</w:t>
            </w:r>
            <w:r w:rsidR="00F1192D"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本年度各供水企业自检水质综合合格率100%，中心委托第三方检测单位开展水质监测13530项次，综合合格率100%。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C" w:rsidRPr="00F1192D" w:rsidRDefault="00F57E2C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F57E2C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水质监管工作完成时效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F1192D" w:rsidP="004873E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F1192D">
              <w:rPr>
                <w:rFonts w:ascii="仿宋" w:hAnsi="仿宋" w:cs="宋体" w:hint="eastAsia"/>
                <w:kern w:val="0"/>
                <w:sz w:val="24"/>
                <w:szCs w:val="24"/>
              </w:rPr>
              <w:t>加强供水水质行业监管，加大水质监测力度，进一步加强水质在线监测点的监管，提高测量质量，及时报送水质公示信息，规范执行水质公示制度。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2C" w:rsidRPr="006E4AFD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按时完成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C" w:rsidRPr="006E4AFD" w:rsidRDefault="00F57E2C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6E4AFD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F57E2C" w:rsidRPr="00DC04FA" w:rsidTr="005D4A84">
        <w:trPr>
          <w:trHeight w:val="600"/>
          <w:jc w:val="center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50342C" w:rsidP="0050342C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完成非居民用户节水核查，</w:t>
            </w:r>
            <w:r w:rsidR="007721E8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对部分重点用水单位，在节水核查中发现的问题，组织开展用水审计，帮助用水单位降低损漏，提升用水效率。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847DC4">
              <w:rPr>
                <w:rFonts w:ascii="仿宋" w:hAnsi="仿宋" w:cs="宋体" w:hint="eastAsia"/>
                <w:color w:val="FF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507EE8" w:rsidP="006F6752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制定《南京市非居民用户节水核查操作规程》，</w:t>
            </w:r>
            <w:r w:rsidR="006F6752" w:rsidRP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全年</w:t>
            </w:r>
            <w:r w:rsidRP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完成370家单位的节水核查</w:t>
            </w:r>
            <w:r w:rsid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P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修漏节水量约300</w:t>
            </w:r>
            <w:r w:rsidR="006F6752" w:rsidRP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万M</w:t>
            </w:r>
            <w:r w:rsidR="006F6752" w:rsidRPr="00DC04FA">
              <w:rPr>
                <w:rFonts w:ascii="仿宋" w:hAnsi="仿宋" w:cs="宋体" w:hint="eastAsia"/>
                <w:kern w:val="0"/>
                <w:sz w:val="24"/>
                <w:szCs w:val="24"/>
                <w:vertAlign w:val="superscript"/>
              </w:rPr>
              <w:t>3</w:t>
            </w:r>
            <w:r w:rsidR="006F6752" w:rsidRPr="006F6752">
              <w:rPr>
                <w:rFonts w:ascii="仿宋" w:hAnsi="仿宋" w:cs="宋体" w:hint="eastAsia"/>
                <w:kern w:val="0"/>
                <w:sz w:val="24"/>
                <w:szCs w:val="24"/>
              </w:rPr>
              <w:t>/年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2C" w:rsidRPr="00DC04FA" w:rsidRDefault="00DA1FE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DC04FA">
              <w:rPr>
                <w:rFonts w:ascii="仿宋" w:hAnsi="仿宋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F57E2C" w:rsidRPr="00847DC4" w:rsidTr="004E116F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F57E2C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2C6D1A" w:rsidRDefault="00735E6B" w:rsidP="00CE346A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开展行业安全生产工作检查指导，组织</w:t>
            </w: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开展供水行业应急预案演练，保障供水安全；</w:t>
            </w:r>
            <w:r w:rsidR="008C12F4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开展节水型小区、企业（单位）创建工作，进行主题节水宣传活动</w:t>
            </w:r>
            <w:r w:rsidR="00CE346A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等</w:t>
            </w:r>
            <w:r w:rsidR="008C12F4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，促进社会对节水工作的重视</w:t>
            </w:r>
            <w:r w:rsidR="006D5080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7E2C" w:rsidRPr="00847DC4" w:rsidRDefault="00F57E2C" w:rsidP="00607426">
            <w:pPr>
              <w:tabs>
                <w:tab w:val="left" w:pos="1080"/>
                <w:tab w:val="left" w:pos="1260"/>
                <w:tab w:val="left" w:pos="1440"/>
              </w:tabs>
              <w:spacing w:line="360" w:lineRule="auto"/>
              <w:ind w:firstLine="480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545" w:rsidRDefault="00735E6B" w:rsidP="00735E6B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164545">
              <w:rPr>
                <w:rFonts w:ascii="仿宋" w:hAnsi="仿宋" w:cs="宋体" w:hint="eastAsia"/>
                <w:kern w:val="0"/>
                <w:sz w:val="24"/>
                <w:szCs w:val="24"/>
              </w:rPr>
              <w:t>1、</w:t>
            </w:r>
            <w:r w:rsidR="00DC04FA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全年开展行业安全生产督导检</w:t>
            </w:r>
            <w:r w:rsidR="00DC04FA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查39次，发现87处问题和隐患，均已督促供水企业整改到位。</w:t>
            </w:r>
          </w:p>
          <w:p w:rsidR="00735E6B" w:rsidRPr="00164545" w:rsidRDefault="00164545" w:rsidP="00735E6B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2、</w:t>
            </w:r>
            <w:r w:rsidR="00DC04FA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编制《南京市应急水源供水应急预案》、《南京市应急水源地管理办法》、《南京市供水节水指导中心2023年安全生产工作要点清单》等应急预案和规章制度。在南京水务集团龙潭水厂组织开展了南京市供水</w:t>
            </w:r>
            <w:proofErr w:type="gramStart"/>
            <w:r w:rsidR="00DC04FA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行业漏氯事故</w:t>
            </w:r>
            <w:proofErr w:type="gramEnd"/>
            <w:r w:rsidR="00DC04FA" w:rsidRPr="00886423">
              <w:rPr>
                <w:rFonts w:ascii="仿宋" w:hAnsi="仿宋" w:cs="宋体" w:hint="eastAsia"/>
                <w:kern w:val="0"/>
                <w:sz w:val="24"/>
                <w:szCs w:val="24"/>
              </w:rPr>
              <w:t>应急预案演练，切实提升了全市供水行业安全生产水平。</w:t>
            </w:r>
          </w:p>
          <w:p w:rsidR="00DC04FA" w:rsidRPr="006D4986" w:rsidRDefault="00164545" w:rsidP="00DC04FA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164545">
              <w:rPr>
                <w:rFonts w:ascii="仿宋" w:hAnsi="仿宋" w:cs="宋体" w:hint="eastAsia"/>
                <w:kern w:val="0"/>
                <w:sz w:val="24"/>
                <w:szCs w:val="24"/>
              </w:rPr>
              <w:t>3</w:t>
            </w:r>
            <w:r w:rsidR="00735E6B" w:rsidRPr="00164545">
              <w:rPr>
                <w:rFonts w:ascii="仿宋" w:hAnsi="仿宋" w:cs="宋体" w:hint="eastAsia"/>
                <w:kern w:val="0"/>
                <w:sz w:val="24"/>
                <w:szCs w:val="24"/>
              </w:rPr>
              <w:t>、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完成6</w:t>
            </w:r>
            <w:r w:rsidR="00DC04FA">
              <w:rPr>
                <w:rFonts w:ascii="仿宋" w:hAnsi="仿宋" w:cs="宋体" w:hint="eastAsia"/>
                <w:kern w:val="0"/>
                <w:sz w:val="24"/>
                <w:szCs w:val="24"/>
              </w:rPr>
              <w:t>所水利部节水型高校、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20个市级节水型小区的创建工作</w:t>
            </w:r>
            <w:r w:rsidR="00DC04FA">
              <w:rPr>
                <w:rFonts w:ascii="仿宋" w:hAnsi="仿宋" w:cs="宋体" w:hint="eastAsia"/>
                <w:kern w:val="0"/>
                <w:sz w:val="24"/>
                <w:szCs w:val="24"/>
              </w:rPr>
              <w:t>，完成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1家节水型学校、2个节水技改项目、3家市级节水型企业、4家节水型单位和1家</w:t>
            </w:r>
            <w:proofErr w:type="gramStart"/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省级水效领跑</w:t>
            </w:r>
            <w:proofErr w:type="gramEnd"/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者的申报工作。</w:t>
            </w:r>
          </w:p>
          <w:p w:rsidR="00DC04FA" w:rsidRPr="00507EE8" w:rsidRDefault="00140EF4" w:rsidP="00DC04FA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4、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拍摄制作节水微视频，充分发挥各级广电媒体的宣传优势，在省级媒体发布报道4篇、在全国节约用水办公室网站发布信息11</w:t>
            </w:r>
            <w:r w:rsidR="00DC04FA">
              <w:rPr>
                <w:rFonts w:ascii="仿宋" w:hAnsi="仿宋" w:cs="宋体" w:hint="eastAsia"/>
                <w:kern w:val="0"/>
                <w:sz w:val="24"/>
                <w:szCs w:val="24"/>
              </w:rPr>
              <w:t>篇。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做好“3.22世界水日”和5.15全国节水宣传周宣传工作。开展了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“大手拉小手，节水宣传进校园”、节水书画、小记者手抄报征集、节水服务进社区等系列活动。</w:t>
            </w:r>
          </w:p>
          <w:p w:rsidR="00DC04FA" w:rsidRPr="00164545" w:rsidRDefault="00140EF4" w:rsidP="00DC04FA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5、</w:t>
            </w:r>
            <w:r w:rsidR="00DC04FA"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开展南京市节水型地铁车站（车辆基地）评价标准项目。通过调研南京市及国内地铁车站用水情况，构建南京市节水型地铁车站（车辆基地）建设标准体系，对地铁行业的节水建设具有指导意义。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EF4" w:rsidRDefault="00140EF4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4E116F" w:rsidRDefault="004E116F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F57E2C" w:rsidRPr="00140EF4" w:rsidRDefault="00F57E2C" w:rsidP="004E116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140EF4">
              <w:rPr>
                <w:rFonts w:ascii="仿宋" w:hAnsi="仿宋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2F5D31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C6D1A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C6D1A" w:rsidRDefault="00EC189D" w:rsidP="00EC189D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创建节水型小区、节水型企业、节水型高校等；</w:t>
            </w:r>
            <w:r w:rsidR="008C12F4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开展节水核查和用水审计，指导用水单位提升水效</w:t>
            </w: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847DC4" w:rsidRDefault="002F5D31" w:rsidP="00B773D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  <w:p w:rsidR="002F5D31" w:rsidRPr="00847DC4" w:rsidRDefault="002F5D31" w:rsidP="00004B2B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4FA" w:rsidRDefault="00DC04FA" w:rsidP="00A028C6">
            <w:pPr>
              <w:ind w:firstLineChars="0" w:firstLine="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完成6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所水利部节水型高校、</w:t>
            </w: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20个市级节水型小区的创建工作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，完成</w:t>
            </w: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1家节水型学校、2个节水技改项目、3家市级节水型企业、4家节水型单位和1家</w:t>
            </w:r>
            <w:proofErr w:type="gramStart"/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省级水效领跑</w:t>
            </w:r>
            <w:proofErr w:type="gramEnd"/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者的申报工作。</w:t>
            </w:r>
          </w:p>
          <w:p w:rsidR="002F5D31" w:rsidRPr="00847DC4" w:rsidRDefault="00DC04FA" w:rsidP="00EC189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制定《南京市非居民用户节水核查操作规程》，完成370家单位的节水核查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，</w:t>
            </w: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修漏节水量约300万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M</w:t>
            </w:r>
            <w:r>
              <w:rPr>
                <w:rFonts w:ascii="仿宋" w:hAnsi="仿宋" w:cs="宋体" w:hint="eastAsia"/>
                <w:kern w:val="0"/>
                <w:sz w:val="24"/>
                <w:szCs w:val="24"/>
                <w:vertAlign w:val="superscript"/>
              </w:rPr>
              <w:t>3</w:t>
            </w:r>
            <w:r w:rsidRPr="00507EE8">
              <w:rPr>
                <w:rFonts w:ascii="仿宋" w:hAnsi="仿宋" w:cs="宋体" w:hint="eastAsia"/>
                <w:kern w:val="0"/>
                <w:sz w:val="24"/>
                <w:szCs w:val="24"/>
              </w:rPr>
              <w:t>/年，完成1家合同节水项目、指导19个建设项目雨水系统备案。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31" w:rsidRPr="00A028C6" w:rsidRDefault="0067493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A028C6">
              <w:rPr>
                <w:rFonts w:ascii="仿宋" w:hAnsi="仿宋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2F5D31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C6D1A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C6D1A" w:rsidRDefault="002F5D31" w:rsidP="002830C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积极办理“12345”等各类督办和举报案件、</w:t>
            </w:r>
            <w:r w:rsidR="006F1BD9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处理市长信箱</w:t>
            </w:r>
            <w:r w:rsidR="00ED7AE9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；落实市水</w:t>
            </w:r>
            <w:proofErr w:type="gramStart"/>
            <w:r w:rsidR="00ED7AE9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="00ED7AE9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系统政策法规年度工作要求，完善中心法治建</w:t>
            </w:r>
            <w:r w:rsidR="00ED7AE9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设；</w:t>
            </w:r>
            <w:r w:rsidR="006D5080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落实市水</w:t>
            </w:r>
            <w:proofErr w:type="gramStart"/>
            <w:r w:rsidR="006D5080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="006D5080" w:rsidRPr="002C6D1A">
              <w:rPr>
                <w:rFonts w:ascii="仿宋" w:hAnsi="仿宋" w:cs="宋体" w:hint="eastAsia"/>
                <w:kern w:val="0"/>
                <w:sz w:val="24"/>
                <w:szCs w:val="24"/>
              </w:rPr>
              <w:t>系统法治宣传教育要求，加强供节水法治宣传教育，严格依法行政。</w:t>
            </w:r>
            <w:r w:rsidR="00387D82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8C34CE" w:rsidRDefault="002F5D31" w:rsidP="00211127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8C34CE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包含服务对象、管理对象</w:t>
            </w: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77" w:rsidRPr="00992D72" w:rsidRDefault="00946677" w:rsidP="008D209A">
            <w:pPr>
              <w:ind w:firstLine="480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0D1314">
              <w:rPr>
                <w:rFonts w:ascii="仿宋" w:hAnsi="仿宋" w:cs="宋体" w:hint="eastAsia"/>
                <w:kern w:val="0"/>
                <w:sz w:val="24"/>
                <w:szCs w:val="24"/>
              </w:rPr>
              <w:t>坚持以服务社会、群众满意为宗旨，以推进政务公开、提高行政效率、促进供节水事业高质量发展</w:t>
            </w:r>
            <w:r w:rsidRPr="000D1314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为目标，及时、准确、高效办理群众诉求事项</w:t>
            </w:r>
            <w:r w:rsidR="00890C32">
              <w:rPr>
                <w:rFonts w:ascii="仿宋" w:hAnsi="仿宋" w:cs="宋体" w:hint="eastAsia"/>
                <w:kern w:val="0"/>
                <w:sz w:val="24"/>
                <w:szCs w:val="24"/>
              </w:rPr>
              <w:t>。</w:t>
            </w:r>
            <w:r w:rsidR="008C735C" w:rsidRPr="00992D72">
              <w:rPr>
                <w:rFonts w:ascii="仿宋" w:hAnsi="仿宋" w:cs="宋体" w:hint="eastAsia"/>
                <w:kern w:val="0"/>
                <w:sz w:val="24"/>
                <w:szCs w:val="24"/>
              </w:rPr>
              <w:t>2023年度我中心共收到12345工单20件，均做到闭环处理，及时处理反馈，确保件件有着落、事事有回音，20件工单态</w:t>
            </w:r>
            <w:proofErr w:type="gramStart"/>
            <w:r w:rsidR="008C735C" w:rsidRPr="00992D72">
              <w:rPr>
                <w:rFonts w:ascii="仿宋" w:hAnsi="仿宋" w:cs="宋体" w:hint="eastAsia"/>
                <w:kern w:val="0"/>
                <w:sz w:val="24"/>
                <w:szCs w:val="24"/>
              </w:rPr>
              <w:t>度满意</w:t>
            </w:r>
            <w:proofErr w:type="gramEnd"/>
            <w:r w:rsidR="008C735C" w:rsidRPr="00992D72">
              <w:rPr>
                <w:rFonts w:ascii="仿宋" w:hAnsi="仿宋" w:cs="宋体" w:hint="eastAsia"/>
                <w:kern w:val="0"/>
                <w:sz w:val="24"/>
                <w:szCs w:val="24"/>
              </w:rPr>
              <w:t>度、结果满意度均为100%。</w:t>
            </w:r>
          </w:p>
          <w:p w:rsidR="007D4004" w:rsidRPr="00847DC4" w:rsidRDefault="00177671" w:rsidP="006F141F">
            <w:pPr>
              <w:ind w:firstLine="480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  <w:r w:rsidRPr="00992D72">
              <w:rPr>
                <w:rFonts w:ascii="仿宋" w:hAnsi="仿宋" w:cs="宋体" w:hint="eastAsia"/>
                <w:kern w:val="0"/>
                <w:sz w:val="24"/>
                <w:szCs w:val="24"/>
              </w:rPr>
              <w:t>中心联合总队派驻支队开展“管理+执法”巡查，及时落实市局领导要求，典型案件公开曝光，案件办理情况在全市供水行业通报，查处结果依法向社会公示。本年度配合总队派驻支队办理“地铁7号线万寿村站区域dn1000供水管线损坏”案件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044" w:rsidRPr="00E67044" w:rsidRDefault="00E6704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E67044" w:rsidRPr="00E67044" w:rsidRDefault="00E6704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E67044" w:rsidRPr="00E67044" w:rsidRDefault="00E6704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E67044" w:rsidRPr="00E67044" w:rsidRDefault="00E6704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E67044" w:rsidRPr="00E67044" w:rsidRDefault="00E67044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  <w:p w:rsidR="002F5D31" w:rsidRPr="00E67044" w:rsidRDefault="007810F6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E67044">
              <w:rPr>
                <w:rFonts w:ascii="仿宋" w:hAnsi="仿宋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2F5D31" w:rsidRPr="00FF2477" w:rsidTr="005D4A84">
        <w:trPr>
          <w:trHeight w:val="600"/>
          <w:jc w:val="center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E可持续发展能力（5分）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E1信息化建设情况</w:t>
            </w:r>
            <w:r w:rsidRPr="002830C3">
              <w:rPr>
                <w:rFonts w:ascii="仿宋" w:hAnsi="仿宋" w:cs="宋体"/>
                <w:kern w:val="0"/>
                <w:sz w:val="24"/>
                <w:szCs w:val="24"/>
              </w:rPr>
              <w:br/>
            </w: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FF2477" w:rsidRDefault="002B73D3" w:rsidP="00FF2477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F2477">
              <w:rPr>
                <w:rFonts w:ascii="仿宋" w:hAnsi="仿宋" w:cs="宋体" w:hint="eastAsia"/>
                <w:kern w:val="0"/>
                <w:sz w:val="24"/>
                <w:szCs w:val="24"/>
              </w:rPr>
              <w:t>通过南京市供水节水行业监管平台和档案管理系统</w:t>
            </w:r>
            <w:r w:rsidR="002F5D31" w:rsidRPr="00FF2477">
              <w:rPr>
                <w:rFonts w:ascii="仿宋" w:hAnsi="仿宋" w:cs="宋体" w:hint="eastAsia"/>
                <w:kern w:val="0"/>
                <w:sz w:val="24"/>
                <w:szCs w:val="24"/>
              </w:rPr>
              <w:t>等进行办公及业务管理</w:t>
            </w:r>
          </w:p>
        </w:tc>
        <w:tc>
          <w:tcPr>
            <w:tcW w:w="3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FF2477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F2477">
              <w:rPr>
                <w:rFonts w:ascii="仿宋" w:hAnsi="仿宋" w:cs="宋体" w:hint="eastAsia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D31" w:rsidRPr="00FF2477" w:rsidRDefault="002B73D3" w:rsidP="002B73D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F2477">
              <w:rPr>
                <w:rFonts w:ascii="仿宋" w:hAnsi="仿宋" w:cs="宋体" w:hint="eastAsia"/>
                <w:kern w:val="0"/>
                <w:sz w:val="24"/>
                <w:szCs w:val="24"/>
              </w:rPr>
              <w:t>办公流程、业务开展可以通过单位的信息系统实现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31" w:rsidRPr="00FF2477" w:rsidRDefault="002F5D31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FF2477"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2F5D31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E2人力资源建设情况</w:t>
            </w:r>
            <w:r w:rsidRPr="002830C3">
              <w:rPr>
                <w:rFonts w:ascii="仿宋" w:hAnsi="仿宋" w:cs="宋体"/>
                <w:kern w:val="0"/>
                <w:sz w:val="24"/>
                <w:szCs w:val="24"/>
              </w:rPr>
              <w:br/>
            </w: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BE6D0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强化队伍建设、绩效考核调动全体干部职工的积极性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31" w:rsidRPr="002830C3" w:rsidRDefault="002F5D31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2F5D31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1072D8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部门（单位）需提供创新案例被官方媒体报道的佐证材料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31" w:rsidRPr="002830C3" w:rsidRDefault="002F5D31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2F5D31" w:rsidRPr="00847DC4" w:rsidTr="005D4A84">
        <w:trPr>
          <w:trHeight w:val="923"/>
          <w:jc w:val="center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lastRenderedPageBreak/>
              <w:t>F加减分项（≤5分）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847DC4" w:rsidRDefault="002F5D31" w:rsidP="006B61AD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387D82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387D82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</w:t>
            </w:r>
            <w:proofErr w:type="gramStart"/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不</w:t>
            </w:r>
            <w:proofErr w:type="gramEnd"/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累计加分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F5D31" w:rsidRPr="00387D82" w:rsidRDefault="001E68C8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2F5D31" w:rsidRPr="00847DC4" w:rsidTr="005D4A84">
        <w:trPr>
          <w:trHeight w:val="600"/>
          <w:jc w:val="center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387D82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387D82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387D82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387D82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F5D31" w:rsidRPr="00387D82" w:rsidRDefault="002F5D31" w:rsidP="00C0700F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387D82">
              <w:rPr>
                <w:rFonts w:ascii="仿宋" w:hAnsi="仿宋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2F5D31" w:rsidRPr="00847DC4" w:rsidTr="005D4A84">
        <w:trPr>
          <w:trHeight w:val="600"/>
          <w:jc w:val="center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2830C3">
              <w:rPr>
                <w:rFonts w:ascii="仿宋" w:hAnsi="仿宋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2830C3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5D31" w:rsidRPr="00847DC4" w:rsidRDefault="002F5D31" w:rsidP="00F30D9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327C" w:rsidRPr="00890C32" w:rsidRDefault="000F327C" w:rsidP="00CF7FCC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 w:rsidRPr="00890C32">
              <w:rPr>
                <w:rFonts w:ascii="仿宋" w:hAnsi="仿宋" w:cs="宋体" w:hint="eastAsia"/>
                <w:kern w:val="0"/>
                <w:sz w:val="24"/>
                <w:szCs w:val="24"/>
              </w:rPr>
              <w:t>9</w:t>
            </w:r>
            <w:r w:rsidR="00CF7FCC" w:rsidRPr="00890C32">
              <w:rPr>
                <w:rFonts w:ascii="仿宋" w:hAnsi="仿宋" w:cs="宋体" w:hint="eastAsia"/>
                <w:kern w:val="0"/>
                <w:sz w:val="24"/>
                <w:szCs w:val="24"/>
              </w:rPr>
              <w:t>5</w:t>
            </w:r>
          </w:p>
        </w:tc>
      </w:tr>
    </w:tbl>
    <w:p w:rsidR="00C34783" w:rsidRPr="00847DC4" w:rsidRDefault="00C34783" w:rsidP="0056660A">
      <w:pPr>
        <w:ind w:firstLineChars="0" w:firstLine="0"/>
        <w:rPr>
          <w:color w:val="FF0000"/>
        </w:rPr>
      </w:pPr>
    </w:p>
    <w:sectPr w:rsidR="00C34783" w:rsidRPr="00847DC4" w:rsidSect="00C50D7B">
      <w:type w:val="continuous"/>
      <w:pgSz w:w="16838" w:h="11906" w:orient="landscape"/>
      <w:pgMar w:top="1191" w:right="1440" w:bottom="1247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A4" w:rsidRDefault="008609A4" w:rsidP="005C0B62">
      <w:pPr>
        <w:ind w:firstLine="560"/>
      </w:pPr>
      <w:r>
        <w:separator/>
      </w:r>
    </w:p>
  </w:endnote>
  <w:endnote w:type="continuationSeparator" w:id="0">
    <w:p w:rsidR="008609A4" w:rsidRDefault="008609A4" w:rsidP="005C0B62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A4" w:rsidRDefault="008609A4" w:rsidP="005C0B62">
      <w:pPr>
        <w:ind w:firstLine="560"/>
      </w:pPr>
      <w:r>
        <w:separator/>
      </w:r>
    </w:p>
  </w:footnote>
  <w:footnote w:type="continuationSeparator" w:id="0">
    <w:p w:rsidR="008609A4" w:rsidRDefault="008609A4" w:rsidP="005C0B62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 w:rsidP="00E334C8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6A9"/>
    <w:rsid w:val="00004B2B"/>
    <w:rsid w:val="00005125"/>
    <w:rsid w:val="00007424"/>
    <w:rsid w:val="0002091A"/>
    <w:rsid w:val="00021253"/>
    <w:rsid w:val="0002280B"/>
    <w:rsid w:val="000234A3"/>
    <w:rsid w:val="00025220"/>
    <w:rsid w:val="00037B61"/>
    <w:rsid w:val="00044800"/>
    <w:rsid w:val="0004704D"/>
    <w:rsid w:val="000500FC"/>
    <w:rsid w:val="00072587"/>
    <w:rsid w:val="00074B46"/>
    <w:rsid w:val="00086748"/>
    <w:rsid w:val="00091A3A"/>
    <w:rsid w:val="000A066D"/>
    <w:rsid w:val="000A3C3A"/>
    <w:rsid w:val="000A6730"/>
    <w:rsid w:val="000A70AC"/>
    <w:rsid w:val="000B1539"/>
    <w:rsid w:val="000C16A9"/>
    <w:rsid w:val="000C53D5"/>
    <w:rsid w:val="000D1314"/>
    <w:rsid w:val="000D2D7D"/>
    <w:rsid w:val="000D3C07"/>
    <w:rsid w:val="000D3C1D"/>
    <w:rsid w:val="000D54B3"/>
    <w:rsid w:val="000D6E39"/>
    <w:rsid w:val="000E5F46"/>
    <w:rsid w:val="000F1D25"/>
    <w:rsid w:val="000F327C"/>
    <w:rsid w:val="000F48DD"/>
    <w:rsid w:val="00105E19"/>
    <w:rsid w:val="00106725"/>
    <w:rsid w:val="001072D8"/>
    <w:rsid w:val="001157C9"/>
    <w:rsid w:val="00140EF4"/>
    <w:rsid w:val="00147570"/>
    <w:rsid w:val="00147C83"/>
    <w:rsid w:val="0015215E"/>
    <w:rsid w:val="0015747B"/>
    <w:rsid w:val="001575EE"/>
    <w:rsid w:val="00162F21"/>
    <w:rsid w:val="00164545"/>
    <w:rsid w:val="00164D4C"/>
    <w:rsid w:val="00164F00"/>
    <w:rsid w:val="0016777D"/>
    <w:rsid w:val="001750C4"/>
    <w:rsid w:val="001762CD"/>
    <w:rsid w:val="00177671"/>
    <w:rsid w:val="00183F35"/>
    <w:rsid w:val="00191873"/>
    <w:rsid w:val="00192AAC"/>
    <w:rsid w:val="0019477E"/>
    <w:rsid w:val="001A09F8"/>
    <w:rsid w:val="001A3FEA"/>
    <w:rsid w:val="001A7440"/>
    <w:rsid w:val="001B2F57"/>
    <w:rsid w:val="001B50BE"/>
    <w:rsid w:val="001C543F"/>
    <w:rsid w:val="001C5491"/>
    <w:rsid w:val="001D6804"/>
    <w:rsid w:val="001E402B"/>
    <w:rsid w:val="001E68C8"/>
    <w:rsid w:val="001F18A2"/>
    <w:rsid w:val="001F2885"/>
    <w:rsid w:val="001F5F01"/>
    <w:rsid w:val="00202500"/>
    <w:rsid w:val="00211127"/>
    <w:rsid w:val="00217C3B"/>
    <w:rsid w:val="0022304F"/>
    <w:rsid w:val="0024423F"/>
    <w:rsid w:val="00262FDE"/>
    <w:rsid w:val="00266C10"/>
    <w:rsid w:val="002830C3"/>
    <w:rsid w:val="00283E88"/>
    <w:rsid w:val="0028433F"/>
    <w:rsid w:val="00296D11"/>
    <w:rsid w:val="00297320"/>
    <w:rsid w:val="002A74EC"/>
    <w:rsid w:val="002B49B8"/>
    <w:rsid w:val="002B5C47"/>
    <w:rsid w:val="002B73D3"/>
    <w:rsid w:val="002C310D"/>
    <w:rsid w:val="002C4BEA"/>
    <w:rsid w:val="002C5B80"/>
    <w:rsid w:val="002C6C4B"/>
    <w:rsid w:val="002C6D1A"/>
    <w:rsid w:val="002F14FD"/>
    <w:rsid w:val="002F5D31"/>
    <w:rsid w:val="002F7FAD"/>
    <w:rsid w:val="00305EEB"/>
    <w:rsid w:val="00311090"/>
    <w:rsid w:val="00315781"/>
    <w:rsid w:val="00332C9B"/>
    <w:rsid w:val="003438C8"/>
    <w:rsid w:val="00345179"/>
    <w:rsid w:val="00357A17"/>
    <w:rsid w:val="00385980"/>
    <w:rsid w:val="00387340"/>
    <w:rsid w:val="00387D82"/>
    <w:rsid w:val="00392517"/>
    <w:rsid w:val="00393A36"/>
    <w:rsid w:val="003C09F8"/>
    <w:rsid w:val="003F75D6"/>
    <w:rsid w:val="0040704C"/>
    <w:rsid w:val="00410640"/>
    <w:rsid w:val="004222D0"/>
    <w:rsid w:val="00423F11"/>
    <w:rsid w:val="00430E0B"/>
    <w:rsid w:val="004313F0"/>
    <w:rsid w:val="00442CF2"/>
    <w:rsid w:val="00473D5F"/>
    <w:rsid w:val="00485E16"/>
    <w:rsid w:val="00486435"/>
    <w:rsid w:val="00486F86"/>
    <w:rsid w:val="0049588E"/>
    <w:rsid w:val="004A16EC"/>
    <w:rsid w:val="004B31E0"/>
    <w:rsid w:val="004B583D"/>
    <w:rsid w:val="004C3817"/>
    <w:rsid w:val="004C3FB9"/>
    <w:rsid w:val="004D09A3"/>
    <w:rsid w:val="004D3978"/>
    <w:rsid w:val="004D4856"/>
    <w:rsid w:val="004E116F"/>
    <w:rsid w:val="004F694D"/>
    <w:rsid w:val="0050342C"/>
    <w:rsid w:val="00507EE8"/>
    <w:rsid w:val="00512265"/>
    <w:rsid w:val="00512674"/>
    <w:rsid w:val="00514EEE"/>
    <w:rsid w:val="005332FF"/>
    <w:rsid w:val="005372D6"/>
    <w:rsid w:val="00544613"/>
    <w:rsid w:val="0054511D"/>
    <w:rsid w:val="005571B0"/>
    <w:rsid w:val="0056660A"/>
    <w:rsid w:val="00567C38"/>
    <w:rsid w:val="00582055"/>
    <w:rsid w:val="005B01F0"/>
    <w:rsid w:val="005B3419"/>
    <w:rsid w:val="005B7567"/>
    <w:rsid w:val="005C0B62"/>
    <w:rsid w:val="005C40BC"/>
    <w:rsid w:val="005D4A84"/>
    <w:rsid w:val="005E43CD"/>
    <w:rsid w:val="005F0A07"/>
    <w:rsid w:val="005F172A"/>
    <w:rsid w:val="005F2248"/>
    <w:rsid w:val="005F7B3A"/>
    <w:rsid w:val="00604AFC"/>
    <w:rsid w:val="00607426"/>
    <w:rsid w:val="00611335"/>
    <w:rsid w:val="00614344"/>
    <w:rsid w:val="00617AE7"/>
    <w:rsid w:val="00624B60"/>
    <w:rsid w:val="00632538"/>
    <w:rsid w:val="00634CEA"/>
    <w:rsid w:val="006444C9"/>
    <w:rsid w:val="00647943"/>
    <w:rsid w:val="006522DA"/>
    <w:rsid w:val="00656493"/>
    <w:rsid w:val="00661B16"/>
    <w:rsid w:val="00674934"/>
    <w:rsid w:val="00676244"/>
    <w:rsid w:val="006779D2"/>
    <w:rsid w:val="00684817"/>
    <w:rsid w:val="00692B57"/>
    <w:rsid w:val="006961A3"/>
    <w:rsid w:val="006A2DEA"/>
    <w:rsid w:val="006B086D"/>
    <w:rsid w:val="006B0EC2"/>
    <w:rsid w:val="006B61AD"/>
    <w:rsid w:val="006C36E6"/>
    <w:rsid w:val="006C5537"/>
    <w:rsid w:val="006C6237"/>
    <w:rsid w:val="006D3DBB"/>
    <w:rsid w:val="006D4986"/>
    <w:rsid w:val="006D4B83"/>
    <w:rsid w:val="006D4BF5"/>
    <w:rsid w:val="006D5080"/>
    <w:rsid w:val="006E3F40"/>
    <w:rsid w:val="006E4AFD"/>
    <w:rsid w:val="006E7348"/>
    <w:rsid w:val="006F141F"/>
    <w:rsid w:val="006F1AEF"/>
    <w:rsid w:val="006F1BD9"/>
    <w:rsid w:val="006F60B5"/>
    <w:rsid w:val="006F6752"/>
    <w:rsid w:val="006F7AC0"/>
    <w:rsid w:val="00700CC6"/>
    <w:rsid w:val="007067E1"/>
    <w:rsid w:val="007110CD"/>
    <w:rsid w:val="007162B9"/>
    <w:rsid w:val="00735E6B"/>
    <w:rsid w:val="007550B2"/>
    <w:rsid w:val="00767255"/>
    <w:rsid w:val="007711DC"/>
    <w:rsid w:val="007721E8"/>
    <w:rsid w:val="0078037C"/>
    <w:rsid w:val="007810F6"/>
    <w:rsid w:val="00781874"/>
    <w:rsid w:val="00787807"/>
    <w:rsid w:val="007925C1"/>
    <w:rsid w:val="00794C2A"/>
    <w:rsid w:val="007B086B"/>
    <w:rsid w:val="007B5DEC"/>
    <w:rsid w:val="007D4004"/>
    <w:rsid w:val="007E073D"/>
    <w:rsid w:val="007E275D"/>
    <w:rsid w:val="007F37F9"/>
    <w:rsid w:val="00813453"/>
    <w:rsid w:val="00823D10"/>
    <w:rsid w:val="00844877"/>
    <w:rsid w:val="00847DC4"/>
    <w:rsid w:val="00856DE1"/>
    <w:rsid w:val="008609A4"/>
    <w:rsid w:val="00861AAA"/>
    <w:rsid w:val="0087719C"/>
    <w:rsid w:val="008830B6"/>
    <w:rsid w:val="00886423"/>
    <w:rsid w:val="00890C32"/>
    <w:rsid w:val="008922C1"/>
    <w:rsid w:val="008959BC"/>
    <w:rsid w:val="008969AC"/>
    <w:rsid w:val="008A5A06"/>
    <w:rsid w:val="008C12F4"/>
    <w:rsid w:val="008C34CE"/>
    <w:rsid w:val="008C6B58"/>
    <w:rsid w:val="008C735C"/>
    <w:rsid w:val="008D209A"/>
    <w:rsid w:val="008D3151"/>
    <w:rsid w:val="008D4181"/>
    <w:rsid w:val="008E54CD"/>
    <w:rsid w:val="00900663"/>
    <w:rsid w:val="00905E02"/>
    <w:rsid w:val="0091419F"/>
    <w:rsid w:val="00926B3E"/>
    <w:rsid w:val="0094466B"/>
    <w:rsid w:val="00946677"/>
    <w:rsid w:val="00957E3D"/>
    <w:rsid w:val="0096288C"/>
    <w:rsid w:val="009743CC"/>
    <w:rsid w:val="00974713"/>
    <w:rsid w:val="00981832"/>
    <w:rsid w:val="00992D72"/>
    <w:rsid w:val="00995F54"/>
    <w:rsid w:val="00996643"/>
    <w:rsid w:val="009A20F7"/>
    <w:rsid w:val="009A554B"/>
    <w:rsid w:val="009B1541"/>
    <w:rsid w:val="009B38E3"/>
    <w:rsid w:val="009B4E11"/>
    <w:rsid w:val="009C3101"/>
    <w:rsid w:val="009D22AE"/>
    <w:rsid w:val="009D540E"/>
    <w:rsid w:val="009D762E"/>
    <w:rsid w:val="009E7121"/>
    <w:rsid w:val="00A028C6"/>
    <w:rsid w:val="00A05EC2"/>
    <w:rsid w:val="00A06329"/>
    <w:rsid w:val="00A10D84"/>
    <w:rsid w:val="00A20A5F"/>
    <w:rsid w:val="00A37068"/>
    <w:rsid w:val="00A42510"/>
    <w:rsid w:val="00A47BA0"/>
    <w:rsid w:val="00A55132"/>
    <w:rsid w:val="00A5631C"/>
    <w:rsid w:val="00A574EC"/>
    <w:rsid w:val="00A575C5"/>
    <w:rsid w:val="00A60317"/>
    <w:rsid w:val="00A67846"/>
    <w:rsid w:val="00AA01A8"/>
    <w:rsid w:val="00AB732A"/>
    <w:rsid w:val="00AC26D6"/>
    <w:rsid w:val="00AD1EA0"/>
    <w:rsid w:val="00AD6732"/>
    <w:rsid w:val="00AD711D"/>
    <w:rsid w:val="00AE1113"/>
    <w:rsid w:val="00AF34A6"/>
    <w:rsid w:val="00AF51CB"/>
    <w:rsid w:val="00B0121D"/>
    <w:rsid w:val="00B0441B"/>
    <w:rsid w:val="00B11914"/>
    <w:rsid w:val="00B229A3"/>
    <w:rsid w:val="00B2503D"/>
    <w:rsid w:val="00B25427"/>
    <w:rsid w:val="00B32887"/>
    <w:rsid w:val="00B32DFC"/>
    <w:rsid w:val="00B37550"/>
    <w:rsid w:val="00B46EBF"/>
    <w:rsid w:val="00B5670C"/>
    <w:rsid w:val="00B57A78"/>
    <w:rsid w:val="00B63CD8"/>
    <w:rsid w:val="00B773D6"/>
    <w:rsid w:val="00B77AB7"/>
    <w:rsid w:val="00B959E2"/>
    <w:rsid w:val="00BA0576"/>
    <w:rsid w:val="00BB129D"/>
    <w:rsid w:val="00BB4987"/>
    <w:rsid w:val="00BB5378"/>
    <w:rsid w:val="00BB7607"/>
    <w:rsid w:val="00BC114D"/>
    <w:rsid w:val="00BD29F4"/>
    <w:rsid w:val="00BE049F"/>
    <w:rsid w:val="00BE4316"/>
    <w:rsid w:val="00BE6D03"/>
    <w:rsid w:val="00BE714B"/>
    <w:rsid w:val="00C03DEC"/>
    <w:rsid w:val="00C0700F"/>
    <w:rsid w:val="00C103FF"/>
    <w:rsid w:val="00C12F0B"/>
    <w:rsid w:val="00C229C5"/>
    <w:rsid w:val="00C2351D"/>
    <w:rsid w:val="00C33FE1"/>
    <w:rsid w:val="00C34783"/>
    <w:rsid w:val="00C44C75"/>
    <w:rsid w:val="00C50D7B"/>
    <w:rsid w:val="00C56983"/>
    <w:rsid w:val="00C667FF"/>
    <w:rsid w:val="00C75CEB"/>
    <w:rsid w:val="00C90CEC"/>
    <w:rsid w:val="00CA2EB8"/>
    <w:rsid w:val="00CA6313"/>
    <w:rsid w:val="00CB0C09"/>
    <w:rsid w:val="00CB3659"/>
    <w:rsid w:val="00CB649D"/>
    <w:rsid w:val="00CD2444"/>
    <w:rsid w:val="00CD2BAA"/>
    <w:rsid w:val="00CE346A"/>
    <w:rsid w:val="00CF44FE"/>
    <w:rsid w:val="00CF7FCC"/>
    <w:rsid w:val="00D03486"/>
    <w:rsid w:val="00D05BE5"/>
    <w:rsid w:val="00D06F94"/>
    <w:rsid w:val="00D2352A"/>
    <w:rsid w:val="00D277DC"/>
    <w:rsid w:val="00D52A53"/>
    <w:rsid w:val="00D54CC5"/>
    <w:rsid w:val="00D72826"/>
    <w:rsid w:val="00D80A32"/>
    <w:rsid w:val="00D85A34"/>
    <w:rsid w:val="00D9018D"/>
    <w:rsid w:val="00DA1FE6"/>
    <w:rsid w:val="00DA7A8C"/>
    <w:rsid w:val="00DB2AA3"/>
    <w:rsid w:val="00DB4A71"/>
    <w:rsid w:val="00DB56C6"/>
    <w:rsid w:val="00DC04FA"/>
    <w:rsid w:val="00DC106B"/>
    <w:rsid w:val="00DC45F6"/>
    <w:rsid w:val="00DD1DEA"/>
    <w:rsid w:val="00DD3139"/>
    <w:rsid w:val="00DD358D"/>
    <w:rsid w:val="00DD3A23"/>
    <w:rsid w:val="00DD727F"/>
    <w:rsid w:val="00DF1CF8"/>
    <w:rsid w:val="00E0574E"/>
    <w:rsid w:val="00E14D5C"/>
    <w:rsid w:val="00E179F6"/>
    <w:rsid w:val="00E32E69"/>
    <w:rsid w:val="00E334C8"/>
    <w:rsid w:val="00E51A46"/>
    <w:rsid w:val="00E53EA9"/>
    <w:rsid w:val="00E62094"/>
    <w:rsid w:val="00E67044"/>
    <w:rsid w:val="00E8519A"/>
    <w:rsid w:val="00E86EA7"/>
    <w:rsid w:val="00EA1DF7"/>
    <w:rsid w:val="00EA6070"/>
    <w:rsid w:val="00EB4E88"/>
    <w:rsid w:val="00EC189D"/>
    <w:rsid w:val="00ED7AE9"/>
    <w:rsid w:val="00EE62E1"/>
    <w:rsid w:val="00EF0EC8"/>
    <w:rsid w:val="00EF4390"/>
    <w:rsid w:val="00EF4941"/>
    <w:rsid w:val="00F00EA8"/>
    <w:rsid w:val="00F10A37"/>
    <w:rsid w:val="00F1192D"/>
    <w:rsid w:val="00F16AA7"/>
    <w:rsid w:val="00F23F28"/>
    <w:rsid w:val="00F30041"/>
    <w:rsid w:val="00F30D93"/>
    <w:rsid w:val="00F34E0D"/>
    <w:rsid w:val="00F37D5E"/>
    <w:rsid w:val="00F4259F"/>
    <w:rsid w:val="00F46101"/>
    <w:rsid w:val="00F55795"/>
    <w:rsid w:val="00F57E2C"/>
    <w:rsid w:val="00F651A5"/>
    <w:rsid w:val="00F84110"/>
    <w:rsid w:val="00F8519F"/>
    <w:rsid w:val="00F87925"/>
    <w:rsid w:val="00FA06D2"/>
    <w:rsid w:val="00FA3AAA"/>
    <w:rsid w:val="00FA3D28"/>
    <w:rsid w:val="00FA5C82"/>
    <w:rsid w:val="00FB209B"/>
    <w:rsid w:val="00FC631D"/>
    <w:rsid w:val="00FD1464"/>
    <w:rsid w:val="00FD1AD8"/>
    <w:rsid w:val="00FD6607"/>
    <w:rsid w:val="00FD7B7B"/>
    <w:rsid w:val="00FE1757"/>
    <w:rsid w:val="00FE28C7"/>
    <w:rsid w:val="00FE2C73"/>
    <w:rsid w:val="00FE361D"/>
    <w:rsid w:val="00FE722E"/>
    <w:rsid w:val="00FF2477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B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B62"/>
    <w:rPr>
      <w:rFonts w:ascii="Times New Roman" w:eastAsia="仿宋" w:hAnsi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886423"/>
    <w:pPr>
      <w:widowControl/>
      <w:spacing w:before="100" w:beforeAutospacing="1" w:after="100" w:afterAutospacing="1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2099F-5671-4C78-97CA-A2D79E6C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3307</TotalTime>
  <Pages>11</Pages>
  <Words>706</Words>
  <Characters>4027</Characters>
  <Application>Microsoft Office Word</Application>
  <DocSecurity>0</DocSecurity>
  <Lines>33</Lines>
  <Paragraphs>9</Paragraphs>
  <ScaleCrop>false</ScaleCrop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wl</cp:lastModifiedBy>
  <cp:revision>165</cp:revision>
  <cp:lastPrinted>2023-05-26T03:08:00Z</cp:lastPrinted>
  <dcterms:created xsi:type="dcterms:W3CDTF">2024-06-20T01:20:00Z</dcterms:created>
  <dcterms:modified xsi:type="dcterms:W3CDTF">2024-08-02T06:28:00Z</dcterms:modified>
</cp:coreProperties>
</file>