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227DD">
      <w:pPr>
        <w:keepLines w:val="0"/>
        <w:widowControl w:val="0"/>
        <w:snapToGrid w:val="0"/>
        <w:spacing w:before="9" w:beforeAutospacing="0" w:after="0" w:afterAutospacing="0" w:line="560" w:lineRule="exact"/>
        <w:ind w:left="120"/>
        <w:textAlignment w:val="baseline"/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  <w:t>5</w:t>
      </w:r>
    </w:p>
    <w:p w14:paraId="125BFDF0">
      <w:pPr>
        <w:keepLines w:val="0"/>
        <w:widowControl w:val="0"/>
        <w:snapToGrid w:val="0"/>
        <w:spacing w:before="2" w:beforeAutospacing="0" w:after="0" w:afterAutospacing="0" w:line="560" w:lineRule="exact"/>
        <w:textAlignment w:val="baseline"/>
        <w:rPr>
          <w:rFonts w:hint="default" w:ascii="Times New Roman" w:hAnsi="Times New Roman" w:eastAsia="宋体" w:cs="Times New Roman"/>
          <w:b w:val="0"/>
          <w:i w:val="0"/>
          <w:spacing w:val="0"/>
          <w:w w:val="100"/>
          <w:sz w:val="27"/>
          <w:szCs w:val="27"/>
          <w:lang w:eastAsia="zh-CN"/>
        </w:rPr>
      </w:pPr>
    </w:p>
    <w:p w14:paraId="0C39C782">
      <w:pPr>
        <w:keepLines w:val="0"/>
        <w:widowControl w:val="0"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i w:val="0"/>
          <w:spacing w:val="0"/>
          <w:w w:val="1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i w:val="0"/>
          <w:spacing w:val="0"/>
          <w:w w:val="100"/>
          <w:sz w:val="44"/>
          <w:szCs w:val="44"/>
          <w:lang w:eastAsia="zh-CN"/>
        </w:rPr>
        <w:t>江苏省政府专项债券项目绩效自评价报告</w:t>
      </w:r>
    </w:p>
    <w:p w14:paraId="6A67378A">
      <w:pPr>
        <w:keepLines w:val="0"/>
        <w:widowControl w:val="0"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  <w:t>仙林</w:t>
      </w:r>
      <w:r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eastAsia="zh-CN"/>
        </w:rPr>
        <w:t>污水系统管网排查-专项整治第三批工程）</w:t>
      </w:r>
    </w:p>
    <w:p w14:paraId="1FE6040E">
      <w:pPr>
        <w:keepLines w:val="0"/>
        <w:widowControl w:val="0"/>
        <w:snapToGrid w:val="0"/>
        <w:spacing w:before="0" w:beforeAutospacing="0" w:after="0" w:afterAutospacing="0"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0"/>
          <w:szCs w:val="30"/>
          <w:lang w:eastAsia="zh-CN"/>
        </w:rPr>
      </w:pPr>
    </w:p>
    <w:p w14:paraId="15B1C342">
      <w:pPr>
        <w:numPr>
          <w:ilvl w:val="0"/>
          <w:numId w:val="1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lang w:eastAsia="zh-CN"/>
        </w:rPr>
        <w:t>项目情况</w:t>
      </w:r>
    </w:p>
    <w:p w14:paraId="7EA630D5">
      <w:pPr>
        <w:pStyle w:val="6"/>
        <w:numPr>
          <w:ilvl w:val="0"/>
          <w:numId w:val="0"/>
        </w:numPr>
        <w:ind w:firstLine="600" w:firstLineChars="200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lang w:val="en-US" w:eastAsia="zh-CN" w:bidi="ar-SA"/>
        </w:rPr>
        <w:t>1、项目背景</w:t>
      </w:r>
    </w:p>
    <w:p w14:paraId="0D39E040">
      <w:pPr>
        <w:widowControl/>
        <w:spacing w:line="560" w:lineRule="exact"/>
        <w:ind w:firstLine="640" w:firstLineChars="200"/>
        <w:jc w:val="left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深入贯彻国务院关于《城镇污水处理提质增效三年行动方案（2019-2021年）》的总体部署，认真落实《江苏省城镇污水处理提质增效精准攻坚“333”行动方案》及《南京市城镇污水处理提质增效精准攻坚“333”行动方案》目标任务要求，南京市自2018年起，全面开展排水系统普查工作。针对“污水系统高水位、低浓度”的问题，结合雨水、河道水系，统筹兼顾关联性的河湖排口、雨水管网调查，重点查找河水倒灌、雨污管网混接、错接、破损、淤堵等缺陷。通过检测后的工程整改，实现“污水不下河、河水不倒灌、防洪不阻水、雨天少漫溢”的功能目标，最终彻底实现雨污分流，提高城市排水和治污能力，为水环境质量提升做好坚实基础。</w:t>
      </w:r>
    </w:p>
    <w:p w14:paraId="4838FBFC">
      <w:pPr>
        <w:widowControl/>
        <w:spacing w:line="560" w:lineRule="exact"/>
        <w:ind w:firstLine="640" w:firstLineChars="200"/>
        <w:jc w:val="both"/>
        <w:rPr>
          <w:rFonts w:hint="eastAsia" w:eastAsia="仿宋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按照市委市政府的要求，自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2019 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年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6 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月，南京水务集团委托相关检测单位对仙林片区的污水管网逐步进行了 </w:t>
      </w:r>
      <w:r>
        <w:rPr>
          <w:rFonts w:hint="default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 xml:space="preserve">CCTV </w:t>
      </w:r>
      <w:r>
        <w:rPr>
          <w:rFonts w:hint="eastAsia" w:ascii="Times New Roman" w:hAnsi="Times New Roman" w:eastAsia="仿宋" w:cs="Times New Roman"/>
          <w:color w:val="000000"/>
          <w:kern w:val="0"/>
          <w:sz w:val="32"/>
          <w:szCs w:val="32"/>
          <w:lang w:val="en-US" w:eastAsia="zh-CN"/>
        </w:rPr>
        <w:t>检测，根据《仙林污水收集系统排水管网检测排查成果报告》（下称《成果报告》）的结论，现状管道存在不同程度的结构性、功能性的损坏，部分路段管道损坏严重，对仙林污水收集系统的安全运行造成较大影响。</w:t>
      </w:r>
    </w:p>
    <w:p w14:paraId="34CAE8C7">
      <w:pPr>
        <w:snapToGrid w:val="0"/>
        <w:spacing w:before="0" w:beforeAutospacing="0" w:after="0" w:afterAutospacing="0" w:line="574" w:lineRule="exact"/>
        <w:ind w:firstLine="64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eastAsia="仿宋"/>
          <w:color w:val="000000"/>
          <w:kern w:val="0"/>
          <w:sz w:val="32"/>
          <w:szCs w:val="32"/>
        </w:rPr>
        <w:t>为进一步推动污水处理提质增效，提高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仙林</w:t>
      </w:r>
      <w:r>
        <w:rPr>
          <w:rFonts w:hint="eastAsia" w:eastAsia="仿宋"/>
          <w:color w:val="000000"/>
          <w:kern w:val="0"/>
          <w:sz w:val="32"/>
          <w:szCs w:val="32"/>
        </w:rPr>
        <w:t>污水处理厂的进水浓度，做好中央环保督察问题整改，消除现状管道的安全隐患，保障管道的安全运行，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仙林</w:t>
      </w:r>
      <w:r>
        <w:rPr>
          <w:rFonts w:hint="eastAsia" w:eastAsia="仿宋"/>
          <w:color w:val="000000"/>
          <w:kern w:val="0"/>
          <w:sz w:val="32"/>
          <w:szCs w:val="32"/>
        </w:rPr>
        <w:t>污水系统陆续开展3批次管网排查专项整治工程。2022年11月，第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eastAsia="仿宋"/>
          <w:color w:val="000000"/>
          <w:kern w:val="0"/>
          <w:sz w:val="32"/>
          <w:szCs w:val="32"/>
        </w:rPr>
        <w:t>批次《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仙林</w:t>
      </w:r>
      <w:r>
        <w:rPr>
          <w:rFonts w:hint="eastAsia" w:eastAsia="仿宋"/>
          <w:color w:val="000000"/>
          <w:kern w:val="0"/>
          <w:sz w:val="32"/>
          <w:szCs w:val="32"/>
        </w:rPr>
        <w:t>污水系统管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网</w:t>
      </w:r>
      <w:r>
        <w:rPr>
          <w:rFonts w:hint="eastAsia" w:eastAsia="仿宋"/>
          <w:color w:val="000000"/>
          <w:kern w:val="0"/>
          <w:sz w:val="32"/>
          <w:szCs w:val="32"/>
        </w:rPr>
        <w:t>排查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-</w:t>
      </w:r>
      <w:r>
        <w:rPr>
          <w:rFonts w:hint="eastAsia" w:eastAsia="仿宋"/>
          <w:color w:val="000000"/>
          <w:kern w:val="0"/>
          <w:sz w:val="32"/>
          <w:szCs w:val="32"/>
        </w:rPr>
        <w:t>专项整治第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eastAsia="仿宋"/>
          <w:color w:val="000000"/>
          <w:kern w:val="0"/>
          <w:sz w:val="32"/>
          <w:szCs w:val="32"/>
        </w:rPr>
        <w:t>批工程》获得立项批复（宁水建[2022]5</w:t>
      </w:r>
      <w:r>
        <w:rPr>
          <w:rFonts w:hint="eastAsia" w:eastAsia="仿宋"/>
          <w:color w:val="000000"/>
          <w:kern w:val="0"/>
          <w:sz w:val="32"/>
          <w:szCs w:val="32"/>
          <w:lang w:val="en-US" w:eastAsia="zh-CN"/>
        </w:rPr>
        <w:t>53</w:t>
      </w:r>
      <w:r>
        <w:rPr>
          <w:rFonts w:hint="eastAsia" w:eastAsia="仿宋"/>
          <w:color w:val="000000"/>
          <w:kern w:val="0"/>
          <w:sz w:val="32"/>
          <w:szCs w:val="32"/>
        </w:rPr>
        <w:t>号）。</w:t>
      </w:r>
    </w:p>
    <w:p w14:paraId="65B452CD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2、主要内容：</w:t>
      </w:r>
    </w:p>
    <w:p w14:paraId="354FADED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本次第三批工程作为第二批工程的衔接，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工程位于南京市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栖霞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区仙林污水系统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E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片区，涉及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守敬路、广志路、天佑路等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12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条道路。共整治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DN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00～DN800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污水管道约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9.4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千米，其中开挖修复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DN400～DN600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污水管约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5.7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千米，顶管修复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DN400～DN600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污水管约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1.6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千米，非开挖修复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DN300～DN800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污水管约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2.1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千米。</w:t>
      </w:r>
    </w:p>
    <w:p w14:paraId="340252A6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3、实施方式：用于</w:t>
      </w: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项目建设阶段工程费用投入。</w:t>
      </w:r>
    </w:p>
    <w:p w14:paraId="6F62962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4、资金投入：本项目投资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概算为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13552.16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万元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其中202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年专项债总额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14</w:t>
      </w:r>
      <w:bookmarkStart w:id="0" w:name="_GoBack"/>
      <w:bookmarkEnd w:id="0"/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00万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元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年专项债总额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4500万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元。</w:t>
      </w:r>
    </w:p>
    <w:p w14:paraId="10EBB59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债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资金能最大限度地发挥其作用，实现巨大的社会效益。</w:t>
      </w:r>
    </w:p>
    <w:p w14:paraId="2AD5CC4D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（二）绩效目标</w:t>
      </w:r>
    </w:p>
    <w:p w14:paraId="328A7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（1）社会效益</w:t>
      </w:r>
    </w:p>
    <w:p w14:paraId="1AED4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本工程的建设保障了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仙林片区污水系统的安全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运行，恢复污水主管通水功能，能有效的改善水环境，保证地区的可持续发展，为居民提供更好的生活环境。</w:t>
      </w:r>
    </w:p>
    <w:p w14:paraId="49923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（2）环境效益</w:t>
      </w:r>
    </w:p>
    <w:p w14:paraId="11FFD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项目实施后提高污水厂进厂浓度，提升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仙林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污水系统水环境质量，减少污水管网渗漏对河道、地下水及土壤的污染，营造水清景美的水生活环境，有力保障了人民的生活质量，最终为长江生态保护修复提供有力支撑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。</w:t>
      </w:r>
    </w:p>
    <w:p w14:paraId="6A623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（3）经济效益</w:t>
      </w:r>
    </w:p>
    <w:p w14:paraId="6DB91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污水收集和处理是投资环境的重要内容，对于吸引投资具有重要影响。本项目完成后，地区水环境将得到明显改观，水环境污染问题逐步得到解决，有利于投资环境的改善，增加招商引资的吸引力。</w:t>
      </w:r>
    </w:p>
    <w:p w14:paraId="1914344B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二、评价情况</w:t>
      </w:r>
    </w:p>
    <w:p w14:paraId="5B2562D6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（一）项目特点分析</w:t>
      </w:r>
    </w:p>
    <w:p w14:paraId="5EF9F93F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次改造工程实施，旨在解决管网缺陷问题，提高污水管网质量，减少外水入渗，提升污水处理厂进水浓度。有利于提升基础设施水平，确保排水系统稳定运行，减少因管网老化引发的塌陷、爆管等问题；有利于防止污水渗漏，改善区域水体水质，满足片区排水需求，提升居民生活质量；有利于推动绿色可持续发展，助力实现“双碳”目标。在管道高水位且存在结构性缺陷的情况下，消除在污水入河风险，改善河道水环境。</w:t>
      </w:r>
    </w:p>
    <w:p w14:paraId="6C72E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全部道路污水管道改造已完成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养护成本明显降低。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3E28B75F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（二）评价思路方法</w:t>
      </w:r>
    </w:p>
    <w:p w14:paraId="40F32BC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项目资金管理评价主要依据财政部关于印发《地方政府专项债券项目资金绩效管理办法》的通知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文件要求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对专项债券资金的使用管理要求设置细化指标，进行管理、考核。</w:t>
      </w:r>
    </w:p>
    <w:p w14:paraId="2487349F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（三）评价工作情况</w:t>
      </w:r>
    </w:p>
    <w:p w14:paraId="143E170E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yellow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实际完成情况。专项债券的使用确保项目建设顺利进行，项目于2023年10月正式开工建设，2024年12月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全部完工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专项债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资金专款专用。</w:t>
      </w:r>
    </w:p>
    <w:p w14:paraId="2F9E1E1C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val="en-US" w:eastAsia="zh-CN"/>
        </w:rPr>
        <w:t>四</w:t>
      </w: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绩效评价结论</w:t>
      </w:r>
    </w:p>
    <w:p w14:paraId="3A1D9107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根据江苏省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政府专项债券项目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绩效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评价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指标体系，对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仙林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污水系统管网排查-专项整治第三批工程专项债券资金从过程、产出、效益、满意度四个维度进行自评价，资金管理规范，项目进展顺利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已全部完工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发生造成重大社会影响的质量安全事件，综合评分等级为“优”。</w:t>
      </w:r>
    </w:p>
    <w:p w14:paraId="2E0408F9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三、项目绩效</w:t>
      </w:r>
    </w:p>
    <w:p w14:paraId="331A8066">
      <w:pPr>
        <w:snapToGrid w:val="0"/>
        <w:spacing w:before="0" w:beforeAutospacing="0" w:after="0" w:afterAutospacing="0" w:line="574" w:lineRule="exact"/>
        <w:ind w:firstLine="54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专项债券主要用于项目建设阶段工程费用的使用，</w:t>
      </w:r>
      <w:r>
        <w:rPr>
          <w:rFonts w:hint="eastAsia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val="en-US" w:eastAsia="zh-CN"/>
        </w:rPr>
        <w:t>工程于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2023年10月正式开工建设，2024年12月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全部完工</w:t>
      </w: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color w:val="auto"/>
          <w:spacing w:val="-15"/>
          <w:sz w:val="30"/>
          <w:szCs w:val="30"/>
          <w:highlight w:val="none"/>
          <w:lang w:eastAsia="zh-CN"/>
        </w:rPr>
        <w:t>该项目投产运行后，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highlight w:val="none"/>
          <w:lang w:eastAsia="zh-CN"/>
        </w:rPr>
        <w:t>大大消除现状管道的安全隐患，保障管道的安全运行，提高污水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收集率，解决系统内部分管道高水位运行等问题，从而提高城市排水和治污能力，降低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仙林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污水处理厂运行负荷，改善南京市水体水环境。</w:t>
      </w:r>
    </w:p>
    <w:p w14:paraId="552050B2">
      <w:pPr>
        <w:numPr>
          <w:ilvl w:val="0"/>
          <w:numId w:val="2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存在问题</w:t>
      </w:r>
    </w:p>
    <w:p w14:paraId="39C82F8A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开挖施工涉及地下管线繁多，过程中有地下管线破坏事件发生。</w:t>
      </w:r>
    </w:p>
    <w:p w14:paraId="42BAA2F5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存在部分工序验收不合格情况。</w:t>
      </w:r>
    </w:p>
    <w:p w14:paraId="180D9F8F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部分道路节点存在进度滞后情况。</w:t>
      </w:r>
    </w:p>
    <w:p w14:paraId="36566930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部分道路施工对周边交通影响较大，存在较多投诉。</w:t>
      </w:r>
    </w:p>
    <w:p w14:paraId="77E147F2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highlight w:val="none"/>
        </w:rPr>
      </w:pPr>
      <w:r>
        <w:rPr>
          <w:rFonts w:hint="eastAsia" w:ascii="黑体" w:hAnsi="黑体" w:eastAsia="黑体" w:cs="黑体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五、有关建议</w:t>
      </w:r>
    </w:p>
    <w:p w14:paraId="7F1D0F29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1、施工前制定地下管线保护制度，施工过程中严格按要求执行。</w:t>
      </w:r>
    </w:p>
    <w:p w14:paraId="0E7BD923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2、严格按图施工，过程中进一步加强质量管控各项措施。</w:t>
      </w:r>
    </w:p>
    <w:p w14:paraId="14E955F6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3、提前做好施工组织设计，优化施工工序，确保项目各节点按计划推进。</w:t>
      </w:r>
    </w:p>
    <w:p w14:paraId="30580BAE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4、与属地社区做好对接，及时告知周边居民施工进展情况；施工过程中做好噪音控制；现场安排专职交通疏导员配合交通疏导，尽可能减小施工对周边居民影响。</w:t>
      </w:r>
    </w:p>
    <w:p w14:paraId="216A0FAA">
      <w:pPr>
        <w:keepLines w:val="0"/>
        <w:widowControl w:val="0"/>
        <w:snapToGrid w:val="0"/>
        <w:spacing w:before="0" w:beforeAutospacing="0" w:after="0" w:afterAutospacing="0"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附表：江苏省政府专项债券项目资金绩效年度自评价情况表</w:t>
      </w:r>
    </w:p>
    <w:sectPr>
      <w:type w:val="continuous"/>
      <w:pgSz w:w="11910" w:h="16840"/>
      <w:pgMar w:top="2098" w:right="1474" w:bottom="1984" w:left="1587" w:header="720" w:footer="720" w:gutter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80B81DF-DD2B-43E0-954F-D223B6CCE8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133C3DB-6448-4E7E-A5D0-DDFDDA9A18DC}"/>
  </w:font>
  <w:font w:name="方正黑体_GBK">
    <w:panose1 w:val="02010600010101010101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3" w:fontKey="{DA11745D-4B31-462A-9A5F-991F3C4A23A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4" w:fontKey="{DB0B2262-84BD-4CB4-AF1D-8AA4D5338A4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D023D1CF-E38F-473D-8885-012362D7A49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E8B42"/>
    <w:multiLevelType w:val="singleLevel"/>
    <w:tmpl w:val="A05E8B4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720"/>
  <w:drawingGridHorizontalSpacing w:val="110"/>
  <w:displayHorizontalDrawingGridEvery w:val="1"/>
  <w:displayVerticalDrawingGridEvery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lMDI3MmI2ZTg1ZDBjMTQxYjA1M2JmNTE1Y2MxODAifQ=="/>
  </w:docVars>
  <w:rsids>
    <w:rsidRoot w:val="006A0286"/>
    <w:rsid w:val="0000186F"/>
    <w:rsid w:val="00027842"/>
    <w:rsid w:val="00043144"/>
    <w:rsid w:val="000F0010"/>
    <w:rsid w:val="001076FD"/>
    <w:rsid w:val="00112A3C"/>
    <w:rsid w:val="0012335B"/>
    <w:rsid w:val="00137AD9"/>
    <w:rsid w:val="00143F9D"/>
    <w:rsid w:val="001D43CE"/>
    <w:rsid w:val="001E1F08"/>
    <w:rsid w:val="001F5652"/>
    <w:rsid w:val="002034C4"/>
    <w:rsid w:val="00223670"/>
    <w:rsid w:val="002F39B9"/>
    <w:rsid w:val="00317F35"/>
    <w:rsid w:val="003D4D43"/>
    <w:rsid w:val="00412A90"/>
    <w:rsid w:val="00427AA3"/>
    <w:rsid w:val="00453872"/>
    <w:rsid w:val="00485FCA"/>
    <w:rsid w:val="00491395"/>
    <w:rsid w:val="00496584"/>
    <w:rsid w:val="004B1555"/>
    <w:rsid w:val="004E3E98"/>
    <w:rsid w:val="004F2889"/>
    <w:rsid w:val="005060F6"/>
    <w:rsid w:val="00541FD2"/>
    <w:rsid w:val="0055497B"/>
    <w:rsid w:val="0058181F"/>
    <w:rsid w:val="005C5968"/>
    <w:rsid w:val="005D094F"/>
    <w:rsid w:val="005D61F8"/>
    <w:rsid w:val="006032DC"/>
    <w:rsid w:val="006777F4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E7CA1"/>
    <w:rsid w:val="008F6FC9"/>
    <w:rsid w:val="00926E98"/>
    <w:rsid w:val="009469ED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4168B"/>
    <w:rsid w:val="00CB64D3"/>
    <w:rsid w:val="00D20830"/>
    <w:rsid w:val="00D71C46"/>
    <w:rsid w:val="00D855DD"/>
    <w:rsid w:val="00D85F96"/>
    <w:rsid w:val="00DE067D"/>
    <w:rsid w:val="00DF053C"/>
    <w:rsid w:val="00E070F9"/>
    <w:rsid w:val="00E1011A"/>
    <w:rsid w:val="00E65E3F"/>
    <w:rsid w:val="00E70A55"/>
    <w:rsid w:val="00E96755"/>
    <w:rsid w:val="00EB03FD"/>
    <w:rsid w:val="00ED06B2"/>
    <w:rsid w:val="00EF65E3"/>
    <w:rsid w:val="00F161C4"/>
    <w:rsid w:val="00F35A70"/>
    <w:rsid w:val="00F4202D"/>
    <w:rsid w:val="00FB5E7E"/>
    <w:rsid w:val="00FC405A"/>
    <w:rsid w:val="00FC7877"/>
    <w:rsid w:val="04AF28D4"/>
    <w:rsid w:val="05DC547B"/>
    <w:rsid w:val="0A8078EF"/>
    <w:rsid w:val="0C0D548E"/>
    <w:rsid w:val="0DBC2CC7"/>
    <w:rsid w:val="13A91139"/>
    <w:rsid w:val="13FB7BAA"/>
    <w:rsid w:val="174C3434"/>
    <w:rsid w:val="1B324BB2"/>
    <w:rsid w:val="1B94018A"/>
    <w:rsid w:val="1BD37048"/>
    <w:rsid w:val="1F8703AA"/>
    <w:rsid w:val="24E15CD5"/>
    <w:rsid w:val="268F7C62"/>
    <w:rsid w:val="27122A46"/>
    <w:rsid w:val="27FD2488"/>
    <w:rsid w:val="28C818B9"/>
    <w:rsid w:val="2A7A5C2D"/>
    <w:rsid w:val="2B5244B4"/>
    <w:rsid w:val="31A43590"/>
    <w:rsid w:val="31D43E75"/>
    <w:rsid w:val="331217FF"/>
    <w:rsid w:val="3C5F2ED5"/>
    <w:rsid w:val="3D662B5B"/>
    <w:rsid w:val="416F5968"/>
    <w:rsid w:val="423F13DB"/>
    <w:rsid w:val="4284749E"/>
    <w:rsid w:val="4506515E"/>
    <w:rsid w:val="46AF05B5"/>
    <w:rsid w:val="46ED3C82"/>
    <w:rsid w:val="498D09C8"/>
    <w:rsid w:val="4D387556"/>
    <w:rsid w:val="4E6768E3"/>
    <w:rsid w:val="53DA6D09"/>
    <w:rsid w:val="54663C7E"/>
    <w:rsid w:val="5C4E1BEB"/>
    <w:rsid w:val="5DCC7F73"/>
    <w:rsid w:val="6008725C"/>
    <w:rsid w:val="618C17C7"/>
    <w:rsid w:val="63CC1360"/>
    <w:rsid w:val="63F21DB5"/>
    <w:rsid w:val="66EB73F1"/>
    <w:rsid w:val="6B7C455F"/>
    <w:rsid w:val="6CB60A92"/>
    <w:rsid w:val="73A17354"/>
    <w:rsid w:val="77110B89"/>
    <w:rsid w:val="787500B3"/>
    <w:rsid w:val="791E4FA3"/>
    <w:rsid w:val="7A761CA8"/>
    <w:rsid w:val="7E3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autoRedefine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adjustRightInd w:val="0"/>
      <w:snapToGrid w:val="0"/>
      <w:spacing w:beforeLines="100"/>
      <w:outlineLvl w:val="2"/>
    </w:pPr>
    <w:rPr>
      <w:rFonts w:ascii="Times New Roman" w:hAnsi="Times New Roman"/>
      <w:b/>
      <w:lang w:val="zh-CN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autoRedefine/>
    <w:semiHidden/>
    <w:unhideWhenUsed/>
    <w:qFormat/>
    <w:uiPriority w:val="99"/>
  </w:style>
  <w:style w:type="paragraph" w:styleId="6">
    <w:name w:val="Body Text"/>
    <w:basedOn w:val="1"/>
    <w:autoRedefine/>
    <w:qFormat/>
    <w:uiPriority w:val="1"/>
    <w:pPr>
      <w:spacing w:before="207" w:beforeAutospacing="0" w:afterAutospacing="0"/>
      <w:ind w:left="120"/>
    </w:pPr>
    <w:rPr>
      <w:rFonts w:ascii="宋体" w:hAnsi="宋体" w:eastAsia="宋体"/>
      <w:sz w:val="30"/>
      <w:szCs w:val="30"/>
    </w:rPr>
  </w:style>
  <w:style w:type="paragraph" w:styleId="7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autoRedefine/>
    <w:qFormat/>
    <w:uiPriority w:val="1"/>
  </w:style>
  <w:style w:type="paragraph" w:customStyle="1" w:styleId="16">
    <w:name w:val="Table Paragraph"/>
    <w:basedOn w:val="1"/>
    <w:autoRedefine/>
    <w:qFormat/>
    <w:uiPriority w:val="1"/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8">
    <w:name w:val="页眉 字符"/>
    <w:basedOn w:val="12"/>
    <w:link w:val="9"/>
    <w:autoRedefine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8"/>
    <w:autoRedefine/>
    <w:qFormat/>
    <w:uiPriority w:val="99"/>
    <w:rPr>
      <w:sz w:val="18"/>
      <w:szCs w:val="18"/>
    </w:rPr>
  </w:style>
  <w:style w:type="character" w:customStyle="1" w:styleId="20">
    <w:name w:val="批注框文本 字符"/>
    <w:basedOn w:val="12"/>
    <w:link w:val="7"/>
    <w:autoRedefine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2240</Words>
  <Characters>2351</Characters>
  <Lines>8</Lines>
  <Paragraphs>2</Paragraphs>
  <TotalTime>8</TotalTime>
  <ScaleCrop>false</ScaleCrop>
  <LinksUpToDate>false</LinksUpToDate>
  <CharactersWithSpaces>2357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2022-06-30T02:48:00Z</dcterms:created>
  <dc:creator>张肖军(拟稿)</dc:creator>
  <cp:lastModifiedBy>马殿舟</cp:lastModifiedBy>
  <dcterms:modified xsi:type="dcterms:W3CDTF">2025-06-05T01:56:05Z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6E088023908041DBAC9D766ADE61FB0B_13</vt:lpwstr>
  </property>
  <property fmtid="{D5CDD505-2E9C-101B-9397-08002B2CF9AE}" pid="4" name="KSOTemplateDocerSaveRecord">
    <vt:lpwstr>eyJoZGlkIjoiNzVlN2M5ZTYzMWJlY2YzNDk1YjI3MTQ1NGE4NGRiNjgiLCJ1c2VySWQiOiI0MDQ0NDYyMDEifQ==</vt:lpwstr>
  </property>
</Properties>
</file>