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page" w:tblpX="271" w:tblpY="2148"/>
        <w:tblOverlap w:val="never"/>
        <w:tblW w:w="16435" w:type="dxa"/>
        <w:tblLayout w:type="fixed"/>
        <w:tblLook w:val="04A0" w:firstRow="1" w:lastRow="0" w:firstColumn="1" w:lastColumn="0" w:noHBand="0" w:noVBand="1"/>
      </w:tblPr>
      <w:tblGrid>
        <w:gridCol w:w="1266"/>
        <w:gridCol w:w="2268"/>
        <w:gridCol w:w="4105"/>
        <w:gridCol w:w="3686"/>
        <w:gridCol w:w="2700"/>
        <w:gridCol w:w="2410"/>
      </w:tblGrid>
      <w:tr w:rsidR="00272A49">
        <w:trPr>
          <w:trHeight w:val="600"/>
          <w:tblHeader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41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三级指标（参考）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指标说明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评价要点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得分</w:t>
            </w:r>
          </w:p>
        </w:tc>
      </w:tr>
      <w:tr w:rsidR="00272A49">
        <w:trPr>
          <w:trHeight w:val="600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部门决策（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15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决策机制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决策制度的规范性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决策制度是否符合各项规定要求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单位决策工作流程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272A49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决策流程的科学性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决策流程安排是否科学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单位决策工作流程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272A49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A13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决策执行监督制衡机制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决策执行的分工是否合理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单位决策工作流程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272A49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中长期规划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中长期规划明确性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中长期规划的具体安排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中长期规划目标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272A49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中长期规划与部门职能的匹配性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中长期规划与单位职能的对照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中长期规划目标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272A49">
        <w:trPr>
          <w:trHeight w:val="9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A3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年度工作计划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A31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年度工作计划明确性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年度工作计划与具体工作的对照性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年度工作安排计划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272A49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A32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年度工作计划与部门职能的匹配性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工作计划与职能的对应性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单位职能与年度工作计划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272A49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部门预算编制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预算编制科学规范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预算编制指“内部预算编制”，“科学”衡量制度设计，“规范”衡量流程执行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预算编制项目合规性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272A49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预算编制与重点工作任务的匹配性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预算编制指“内部预算编制”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预算编制重点工作分解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272A49">
        <w:trPr>
          <w:trHeight w:val="600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部门管理（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预算执行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部门预算执行率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与市财政局预算处考核口径一致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资金执行情况表</w:t>
            </w: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2</w:t>
            </w:r>
          </w:p>
        </w:tc>
      </w:tr>
      <w:tr w:rsidR="00272A49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专项资金执行率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与市财政局预算处考核口径一致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资金执行情况表</w:t>
            </w: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2</w:t>
            </w:r>
          </w:p>
        </w:tc>
      </w:tr>
      <w:tr w:rsidR="00272A49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B13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“三公”经费控制率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“三公”经费使用超支扣分，若不超支则不扣分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三公支出明细</w:t>
            </w: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272A49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B14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预决算信息公开情况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预决算是否在“双平台”进行公开，内容和时限是否符合要求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提供截图或者照片进行佐证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272A49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收支管理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收支管理制度健全性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相关制度覆盖情况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单位内部管理制度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272A49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收支管理是否按制度执行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制度执行情况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相关收支工作流程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272A49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资产管理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资产管理制度健全性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相关制度覆盖情况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单位内部管理制度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272A49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资产管理是否按制度执行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制度执行情况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相关资产管理流程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272A49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政府采购管理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政府采购管理制度健全性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相关制度覆盖情况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单位内部管理制度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272A49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政府采购管理是否按制度执行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制度执行情况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相关政府采购执行情况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272A49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B5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建设项目管理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B51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建设项目管理制度健全性</w:t>
            </w:r>
          </w:p>
        </w:tc>
        <w:tc>
          <w:tcPr>
            <w:tcW w:w="36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此项指标根据各个单位具体职能选择是否适用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单位不涉及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272A49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B52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建设项目管理是否按制度执行</w:t>
            </w:r>
          </w:p>
        </w:tc>
        <w:tc>
          <w:tcPr>
            <w:tcW w:w="36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单位不涉及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272A49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内部控制管理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内部控制建设情况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内部控制建设完成情况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是否有内部控制制度落实在手册等文本上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272A49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内部控制执行情况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内部控制执行进展情况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通过重新执行程序评价内控是否有效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272A49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B63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内部控制监督评价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内部控制监督评价覆盖程度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是否有单位内部内控评价报告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272A49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预算绩效管理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组织管理情况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主要包含制度建设、职能配置、分行业的指标体系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272A49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工作开展情况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包含事前评估、目标管理、跟踪评价、自评价和整改落实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考察政策（项目）是否有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个报告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272A49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B73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绩效信息公开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绩效信息是否按照规定的内容和时限在“双平台”进行公开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272A49">
        <w:trPr>
          <w:trHeight w:val="600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部门履职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选方式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：部门职能履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职情况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)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30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C1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重点工作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完成情况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规费征收工作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是否完成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规费征收企业统计到位情况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 w:rsidR="00272A49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规费征收工作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完成质量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规费是否足额收缴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 w:rsidR="00272A49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规费征收工作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完成时效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征缴是否及时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及时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272A49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重点工作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完成情况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水资源管理重点工作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是否完成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eastAsia="仿宋_GB2312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取水计划管理、取水计量监督管理工作、节水评价和非常规水利用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按年初计划完成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 w:rsidR="00272A49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水资源管理重点工作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完成质量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取水计划管理、取水计量监督管理工作、节水评价和非常规水利用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rPr>
                <w:rFonts w:ascii="仿宋" w:eastAsia="仿宋_GB2312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核定机制、水资源管理信息系统南京分中心测站度平均在线率、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重点企业用水审计、奖励非常规水利用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 w:rsidR="00272A49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水资源管理重点工作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完成时效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取水计划管理、取水计量监督管理工作、节水评价和非常规水利用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季度巡查、定期检测备案制度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272A49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C3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重点工作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完成情况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水土保持管理重点工作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是否完成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eastAsia="仿宋_GB2312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建设项目水土保持许可工作、生产建设项目扰动图斑现场复核工作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在建项目全覆盖监督检查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 w:rsidR="00272A49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水土保持管理重点工作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完成质量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建设项目水土保持许可工作、生产建设项目扰动图斑现场复核工作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有效管控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</w:tr>
      <w:tr w:rsidR="00272A49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水土保持管理重点工作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完成时效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建设项目水土保持许可工作、生产建设项目扰动图斑现场复核工作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按期完成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272A49">
        <w:trPr>
          <w:trHeight w:val="600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履职绩效（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30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经济效益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规费及时足额上缴国库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非税收入征收上缴数额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及时上缴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 w:rsidR="00272A49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社会效益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提高企业节水技改的积极性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促进企业科学用水，积极节水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通过系列宣传活动取得良好社会效益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企业节水技改的完成情况、宣传的达成效果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取水企业非常规水利用成果、节水宣传参与度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 w:rsidR="00272A49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D3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生态效益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落实节水优先、强化水资源管理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；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控制各种新的水土流失的产生，遏制水土流失的发展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取水量的计划管理、生产建设单位水土保持的完成情况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水资源检查结果、水土保持检查结果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 w:rsidR="00272A49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D4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满意度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eastAsia="仿宋_GB2312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落实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征收优惠政策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及相关奖补、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积极办理“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12345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”等各类督办和举报案件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对服务管理对象和社会公众的宣传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包含服务对象、管理对象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根据部门（单位）职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能确定满意度的调查对象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272A49">
        <w:trPr>
          <w:trHeight w:val="600"/>
        </w:trPr>
        <w:tc>
          <w:tcPr>
            <w:tcW w:w="12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可持续发展能力（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信息化建设情况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（可选）</w:t>
            </w:r>
          </w:p>
        </w:tc>
        <w:tc>
          <w:tcPr>
            <w:tcW w:w="41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单位内部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OA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系统、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建立数据库进行水土保持业务动态管理</w:t>
            </w:r>
          </w:p>
        </w:tc>
        <w:tc>
          <w:tcPr>
            <w:tcW w:w="36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办公流程、业务开展是否能通过单位的信息系统实现</w:t>
            </w:r>
          </w:p>
        </w:tc>
        <w:tc>
          <w:tcPr>
            <w:tcW w:w="2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内网行文使用情况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272A49">
        <w:trPr>
          <w:trHeight w:val="600"/>
        </w:trPr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人力资源建设情况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（可选）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等线" w:eastAsia="仿宋_GB2312" w:hAnsi="等线" w:cs="宋体" w:hint="eastAsia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强化队伍建设、搭建发展平台、绩效考核调动全体干部职工的积极性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包含人才培养计划、人才选拔运用、激励措施等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72A49" w:rsidRDefault="006C310F">
            <w:pPr>
              <w:widowControl/>
              <w:ind w:firstLineChars="0" w:firstLine="0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单位用人考核机制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272A49">
        <w:trPr>
          <w:trHeight w:val="600"/>
        </w:trPr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E3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部门创新情况（可选）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水资源管理方法创新、水土保持管理创新、宣传方式创新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包含制度创新、方法创新等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部门（单位）需提供创新案例被官方媒体报道的佐证材料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272A49">
        <w:trPr>
          <w:trHeight w:val="600"/>
        </w:trPr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……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</w:p>
        </w:tc>
      </w:tr>
      <w:tr w:rsidR="00272A49">
        <w:trPr>
          <w:trHeight w:val="923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加减分项（≤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F1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加分项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部门（单位）受到国务院、省级、市级嘉奖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 xml:space="preserve">  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受到国务院嘉奖加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分，受到省级嘉奖加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分，得到市级考核一等奖加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分，得到市级考核二等奖加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0.5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分；同一项工作不累计加分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272A49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F2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减分项</w:t>
            </w:r>
          </w:p>
        </w:tc>
        <w:tc>
          <w:tcPr>
            <w:tcW w:w="4105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部门（单位）或工作人员违法违纪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酌情扣分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272A49" w:rsidRDefault="00272A49">
            <w:pPr>
              <w:widowControl/>
              <w:ind w:firstLineChars="0" w:firstLine="0"/>
              <w:jc w:val="left"/>
            </w:pPr>
          </w:p>
        </w:tc>
      </w:tr>
      <w:tr w:rsidR="00272A49">
        <w:trPr>
          <w:trHeight w:val="600"/>
        </w:trPr>
        <w:tc>
          <w:tcPr>
            <w:tcW w:w="12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6C310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总分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2A49" w:rsidRDefault="00272A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272A49" w:rsidRDefault="006C310F">
            <w:pPr>
              <w:widowControl/>
              <w:ind w:firstLineChars="0" w:firstLine="0"/>
              <w:jc w:val="center"/>
            </w:pPr>
            <w:r>
              <w:rPr>
                <w:rFonts w:hint="eastAsia"/>
              </w:rPr>
              <w:t>98</w:t>
            </w:r>
          </w:p>
        </w:tc>
      </w:tr>
    </w:tbl>
    <w:p w:rsidR="00272A49" w:rsidRDefault="006C310F">
      <w:pPr>
        <w:ind w:firstLineChars="71" w:firstLine="199"/>
      </w:pPr>
      <w:r>
        <w:rPr>
          <w:rFonts w:hint="eastAsia"/>
        </w:rPr>
        <w:t>附件</w:t>
      </w:r>
      <w:r>
        <w:rPr>
          <w:rFonts w:hint="eastAsia"/>
        </w:rPr>
        <w:t>1</w:t>
      </w:r>
      <w:r>
        <w:rPr>
          <w:rFonts w:hint="eastAsia"/>
        </w:rPr>
        <w:t>：部门整体绩效评价指标框架</w:t>
      </w:r>
    </w:p>
    <w:p w:rsidR="00272A49" w:rsidRDefault="00272A49">
      <w:pPr>
        <w:ind w:firstLine="560"/>
        <w:sectPr w:rsidR="00272A4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800" w:right="1440" w:bottom="1800" w:left="1440" w:header="851" w:footer="992" w:gutter="0"/>
          <w:cols w:space="425"/>
          <w:docGrid w:type="lines" w:linePitch="381"/>
        </w:sectPr>
      </w:pPr>
    </w:p>
    <w:p w:rsidR="00272A49" w:rsidRDefault="00272A49">
      <w:pPr>
        <w:ind w:firstLine="560"/>
      </w:pPr>
    </w:p>
    <w:sectPr w:rsidR="00272A49">
      <w:type w:val="continuous"/>
      <w:pgSz w:w="16838" w:h="11906" w:orient="landscape"/>
      <w:pgMar w:top="1800" w:right="1440" w:bottom="1800" w:left="1440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72A49" w:rsidRDefault="006C310F">
      <w:pPr>
        <w:ind w:firstLine="560"/>
      </w:pPr>
      <w:r>
        <w:separator/>
      </w:r>
    </w:p>
  </w:endnote>
  <w:endnote w:type="continuationSeparator" w:id="0">
    <w:p w:rsidR="00272A49" w:rsidRDefault="006C310F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72A49" w:rsidRDefault="00272A49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72A49" w:rsidRDefault="00272A49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72A49" w:rsidRDefault="00272A49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72A49" w:rsidRDefault="006C310F">
      <w:pPr>
        <w:ind w:firstLine="560"/>
      </w:pPr>
      <w:r>
        <w:separator/>
      </w:r>
    </w:p>
  </w:footnote>
  <w:footnote w:type="continuationSeparator" w:id="0">
    <w:p w:rsidR="00272A49" w:rsidRDefault="006C310F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72A49" w:rsidRDefault="00272A49">
    <w:pPr>
      <w:pStyle w:val="a7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72A49" w:rsidRDefault="00272A49">
    <w:pPr>
      <w:ind w:firstLine="5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272A49" w:rsidRDefault="00272A49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11657C"/>
    <w:multiLevelType w:val="multilevel"/>
    <w:tmpl w:val="4511657C"/>
    <w:lvl w:ilvl="0">
      <w:start w:val="1"/>
      <w:numFmt w:val="decimal"/>
      <w:pStyle w:val="1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 w16cid:durableId="6606247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HorizontalSpacing w:val="140"/>
  <w:drawingGridVerticalSpacing w:val="38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A3ODQ3Nzg2OTRiMTViNWZhOWY2N2MxMjViNjMxOTQifQ=="/>
  </w:docVars>
  <w:rsids>
    <w:rsidRoot w:val="000C16A9"/>
    <w:rsid w:val="000C16A9"/>
    <w:rsid w:val="00272A49"/>
    <w:rsid w:val="00357A17"/>
    <w:rsid w:val="004B583D"/>
    <w:rsid w:val="00512674"/>
    <w:rsid w:val="005C0B62"/>
    <w:rsid w:val="006C310F"/>
    <w:rsid w:val="007067E1"/>
    <w:rsid w:val="0087719C"/>
    <w:rsid w:val="00900663"/>
    <w:rsid w:val="00974713"/>
    <w:rsid w:val="009A20F7"/>
    <w:rsid w:val="00AF51CB"/>
    <w:rsid w:val="00B229A3"/>
    <w:rsid w:val="00B5670C"/>
    <w:rsid w:val="00C34783"/>
    <w:rsid w:val="00C667FF"/>
    <w:rsid w:val="00E32E69"/>
    <w:rsid w:val="00E334C8"/>
    <w:rsid w:val="00E86EA7"/>
    <w:rsid w:val="00ED53B0"/>
    <w:rsid w:val="19AF2B4F"/>
    <w:rsid w:val="20A97283"/>
    <w:rsid w:val="446C0D4D"/>
    <w:rsid w:val="479F6B95"/>
    <w:rsid w:val="4B11098D"/>
    <w:rsid w:val="5B760765"/>
    <w:rsid w:val="5C710860"/>
    <w:rsid w:val="63C63992"/>
    <w:rsid w:val="68E24AEE"/>
    <w:rsid w:val="6DC80571"/>
    <w:rsid w:val="7CEF096D"/>
    <w:rsid w:val="7D6F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FC70F"/>
  <w15:docId w15:val="{FFFE3590-68A8-4A1C-9978-31CA31A88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firstLineChars="200" w:firstLine="200"/>
      <w:jc w:val="both"/>
    </w:pPr>
    <w:rPr>
      <w:rFonts w:ascii="Times New Roman" w:eastAsia="仿宋" w:hAnsi="Times New Roman"/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numPr>
        <w:numId w:val="1"/>
      </w:numPr>
      <w:spacing w:before="60" w:after="60"/>
      <w:ind w:firstLineChars="0" w:firstLine="0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tabs>
        <w:tab w:val="left" w:pos="720"/>
      </w:tabs>
      <w:ind w:left="720" w:firstLineChars="0" w:firstLine="0"/>
      <w:outlineLvl w:val="1"/>
    </w:pPr>
    <w:rPr>
      <w:rFonts w:asciiTheme="majorHAnsi" w:eastAsia="黑体" w:hAnsiTheme="majorHAnsi" w:cstheme="majorBidi"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黑体" w:hAnsi="Times New Roman"/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="黑体" w:hAnsiTheme="majorHAnsi" w:cstheme="majorBidi"/>
      <w:bCs/>
      <w:sz w:val="30"/>
      <w:szCs w:val="32"/>
    </w:rPr>
  </w:style>
  <w:style w:type="character" w:customStyle="1" w:styleId="a8">
    <w:name w:val="页眉 字符"/>
    <w:basedOn w:val="a0"/>
    <w:link w:val="a7"/>
    <w:uiPriority w:val="99"/>
    <w:qFormat/>
    <w:rPr>
      <w:rFonts w:ascii="Times New Roman" w:eastAsia="仿宋" w:hAnsi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Times New Roman" w:eastAsia="仿宋" w:hAnsi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仿宋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390</Words>
  <Characters>2228</Characters>
  <Application>Microsoft Office Word</Application>
  <DocSecurity>0</DocSecurity>
  <Lines>18</Lines>
  <Paragraphs>5</Paragraphs>
  <ScaleCrop>false</ScaleCrop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 lightman</dc:creator>
  <cp:lastModifiedBy>雪婷 李</cp:lastModifiedBy>
  <cp:revision>3</cp:revision>
  <cp:lastPrinted>2021-09-23T03:56:00Z</cp:lastPrinted>
  <dcterms:created xsi:type="dcterms:W3CDTF">2020-05-26T06:37:00Z</dcterms:created>
  <dcterms:modified xsi:type="dcterms:W3CDTF">2025-10-20T09:39:00Z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526C336594D54C77A5EB46C658387665_13</vt:lpwstr>
  </property>
  <property fmtid="{D5CDD505-2E9C-101B-9397-08002B2CF9AE}" pid="4" name="KSOTemplateDocerSaveRecord">
    <vt:lpwstr>eyJoZGlkIjoiMDA3ODQ3Nzg2OTRiMTViNWZhOWY2N2MxMjViNjMxOTQiLCJ1c2VySWQiOiIyODEyMzA2MTQifQ==</vt:lpwstr>
  </property>
</Properties>
</file>