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A5BD40" w14:textId="77777777" w:rsidR="00835B21" w:rsidRDefault="00466144">
      <w:pPr>
        <w:snapToGrid w:val="0"/>
        <w:spacing w:before="9" w:line="560" w:lineRule="exact"/>
        <w:ind w:left="120"/>
        <w:textAlignment w:val="baseline"/>
        <w:rPr>
          <w:rFonts w:ascii="Times New Roman" w:eastAsia="方正黑体_GBK" w:hAnsi="Times New Roman" w:cs="Times New Roman"/>
          <w:sz w:val="32"/>
          <w:szCs w:val="32"/>
          <w:lang w:eastAsia="zh-CN"/>
        </w:rPr>
      </w:pPr>
      <w:r>
        <w:rPr>
          <w:rFonts w:ascii="Times New Roman" w:eastAsia="方正黑体_GBK" w:hAnsi="Times New Roman" w:cs="Times New Roman"/>
          <w:sz w:val="32"/>
          <w:szCs w:val="32"/>
          <w:lang w:eastAsia="zh-CN"/>
        </w:rPr>
        <w:t>附件</w:t>
      </w:r>
      <w:r>
        <w:rPr>
          <w:rFonts w:ascii="Times New Roman" w:eastAsia="方正黑体_GBK" w:hAnsi="Times New Roman" w:cs="Times New Roman"/>
          <w:sz w:val="32"/>
          <w:szCs w:val="32"/>
          <w:lang w:eastAsia="zh-CN"/>
        </w:rPr>
        <w:t>2-</w:t>
      </w:r>
      <w:r>
        <w:rPr>
          <w:rFonts w:ascii="Times New Roman" w:eastAsia="方正黑体_GBK" w:hAnsi="Times New Roman" w:cs="Times New Roman" w:hint="eastAsia"/>
          <w:sz w:val="32"/>
          <w:szCs w:val="32"/>
          <w:lang w:eastAsia="zh-CN"/>
        </w:rPr>
        <w:t>5</w:t>
      </w:r>
    </w:p>
    <w:p w14:paraId="56D10C3E" w14:textId="77777777" w:rsidR="00835B21" w:rsidRDefault="00835B21">
      <w:pPr>
        <w:snapToGrid w:val="0"/>
        <w:spacing w:before="2" w:line="560" w:lineRule="exact"/>
        <w:textAlignment w:val="baseline"/>
        <w:rPr>
          <w:rFonts w:ascii="Times New Roman" w:eastAsia="宋体" w:hAnsi="Times New Roman" w:cs="Times New Roman"/>
          <w:sz w:val="27"/>
          <w:szCs w:val="27"/>
          <w:lang w:eastAsia="zh-CN"/>
        </w:rPr>
      </w:pPr>
    </w:p>
    <w:p w14:paraId="62FC388F" w14:textId="77777777" w:rsidR="00835B21" w:rsidRDefault="00466144">
      <w:pPr>
        <w:snapToGrid w:val="0"/>
        <w:spacing w:line="560" w:lineRule="exact"/>
        <w:jc w:val="center"/>
        <w:textAlignment w:val="baseline"/>
        <w:rPr>
          <w:rFonts w:ascii="Times New Roman" w:eastAsia="方正小标宋_GBK" w:hAnsi="Times New Roman" w:cs="Times New Roman"/>
          <w:sz w:val="44"/>
          <w:szCs w:val="44"/>
          <w:lang w:eastAsia="zh-CN"/>
        </w:rPr>
      </w:pPr>
      <w:r>
        <w:rPr>
          <w:rFonts w:ascii="Times New Roman" w:eastAsia="方正小标宋_GBK" w:hAnsi="Times New Roman" w:cs="Times New Roman"/>
          <w:sz w:val="44"/>
          <w:szCs w:val="44"/>
          <w:lang w:eastAsia="zh-CN"/>
        </w:rPr>
        <w:t>江苏省政府专项债券项目绩效自评价报告</w:t>
      </w:r>
    </w:p>
    <w:p w14:paraId="78402BDF" w14:textId="77777777" w:rsidR="00F94EB0" w:rsidRDefault="00F94EB0" w:rsidP="00F94EB0">
      <w:pPr>
        <w:jc w:val="center"/>
        <w:rPr>
          <w:rFonts w:ascii="仿宋_GB2312" w:eastAsia="仿宋_GB2312"/>
          <w:sz w:val="32"/>
          <w:szCs w:val="32"/>
          <w:lang w:eastAsia="zh-CN"/>
        </w:rPr>
      </w:pPr>
    </w:p>
    <w:p w14:paraId="664F7009" w14:textId="46BDBE73" w:rsidR="00835B21" w:rsidRPr="00F94EB0" w:rsidRDefault="00466144" w:rsidP="00F94EB0">
      <w:pPr>
        <w:jc w:val="center"/>
        <w:rPr>
          <w:rFonts w:ascii="仿宋_GB2312" w:eastAsia="仿宋_GB2312"/>
          <w:sz w:val="36"/>
          <w:szCs w:val="36"/>
          <w:lang w:eastAsia="zh-CN"/>
        </w:rPr>
      </w:pPr>
      <w:r w:rsidRPr="00F94EB0">
        <w:rPr>
          <w:rFonts w:ascii="仿宋_GB2312" w:eastAsia="仿宋_GB2312" w:hint="eastAsia"/>
          <w:sz w:val="36"/>
          <w:szCs w:val="36"/>
          <w:lang w:eastAsia="zh-CN"/>
        </w:rPr>
        <w:t>（城南污水系统管网排查－专项整治第三批工程）</w:t>
      </w:r>
    </w:p>
    <w:p w14:paraId="5216791B" w14:textId="77777777" w:rsidR="00835B21" w:rsidRDefault="00835B21" w:rsidP="00F94EB0">
      <w:pPr>
        <w:snapToGrid w:val="0"/>
        <w:spacing w:line="560" w:lineRule="exact"/>
        <w:jc w:val="both"/>
        <w:textAlignment w:val="baseline"/>
        <w:rPr>
          <w:rFonts w:ascii="Times New Roman" w:eastAsia="方正楷体_GBK" w:hAnsi="Times New Roman" w:cs="Times New Roman"/>
          <w:sz w:val="30"/>
          <w:szCs w:val="30"/>
          <w:lang w:eastAsia="zh-CN"/>
        </w:rPr>
      </w:pPr>
    </w:p>
    <w:p w14:paraId="2ACB422D" w14:textId="77777777" w:rsidR="00835B21" w:rsidRDefault="00466144">
      <w:pPr>
        <w:numPr>
          <w:ilvl w:val="0"/>
          <w:numId w:val="1"/>
        </w:num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/>
          <w:sz w:val="30"/>
          <w:szCs w:val="30"/>
          <w:lang w:eastAsia="zh-CN"/>
        </w:rPr>
        <w:t>项目情况</w:t>
      </w:r>
    </w:p>
    <w:p w14:paraId="58B0B828" w14:textId="1CF713E5" w:rsidR="001977C4" w:rsidRPr="001977C4" w:rsidRDefault="001977C4" w:rsidP="001977C4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 w:rsidRPr="001977C4"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（一）项目</w:t>
      </w:r>
      <w:r w:rsidRPr="001977C4">
        <w:rPr>
          <w:rFonts w:ascii="宋体" w:eastAsia="宋体" w:hAnsi="宋体" w:cs="宋体" w:hint="eastAsia"/>
          <w:spacing w:val="-4"/>
          <w:sz w:val="30"/>
          <w:szCs w:val="30"/>
          <w:lang w:eastAsia="zh-CN"/>
        </w:rPr>
        <w:t>基本</w:t>
      </w:r>
      <w:r w:rsidRPr="001977C4">
        <w:rPr>
          <w:rFonts w:ascii="Times New Roman" w:eastAsia="方正楷体_GBK" w:hAnsi="Times New Roman" w:cs="Times New Roman" w:hint="eastAsia"/>
          <w:spacing w:val="-4"/>
          <w:sz w:val="30"/>
          <w:szCs w:val="30"/>
          <w:lang w:eastAsia="zh-CN"/>
        </w:rPr>
        <w:t>情况</w:t>
      </w:r>
    </w:p>
    <w:p w14:paraId="6AF761F9" w14:textId="2E49C1AA" w:rsidR="00835B21" w:rsidRDefault="001977C4">
      <w:pPr>
        <w:pStyle w:val="a4"/>
        <w:ind w:left="0" w:firstLineChars="200"/>
        <w:rPr>
          <w:rFonts w:ascii="Times New Roman" w:eastAsia="方正仿宋_GBK" w:hAnsi="Times New Roman" w:cs="Times New Roman"/>
          <w:lang w:eastAsia="zh-CN"/>
        </w:rPr>
      </w:pPr>
      <w:r>
        <w:rPr>
          <w:rFonts w:ascii="Times New Roman" w:eastAsia="方正仿宋_GBK" w:hAnsi="Times New Roman" w:cs="Times New Roman" w:hint="eastAsia"/>
          <w:lang w:eastAsia="zh-CN"/>
        </w:rPr>
        <w:t>（</w:t>
      </w:r>
      <w:r w:rsidR="00466144">
        <w:rPr>
          <w:rFonts w:ascii="Times New Roman" w:eastAsia="方正仿宋_GBK" w:hAnsi="Times New Roman" w:cs="Times New Roman" w:hint="eastAsia"/>
          <w:lang w:eastAsia="zh-CN"/>
        </w:rPr>
        <w:t>1</w:t>
      </w:r>
      <w:r>
        <w:rPr>
          <w:rFonts w:ascii="Times New Roman" w:eastAsia="方正仿宋_GBK" w:hAnsi="Times New Roman" w:cs="Times New Roman" w:hint="eastAsia"/>
          <w:lang w:eastAsia="zh-CN"/>
        </w:rPr>
        <w:t>）</w:t>
      </w:r>
      <w:r w:rsidR="00466144">
        <w:rPr>
          <w:rFonts w:ascii="Times New Roman" w:eastAsia="方正仿宋_GBK" w:hAnsi="Times New Roman" w:cs="Times New Roman" w:hint="eastAsia"/>
          <w:lang w:eastAsia="zh-CN"/>
        </w:rPr>
        <w:t>项目背景</w:t>
      </w:r>
    </w:p>
    <w:p w14:paraId="1C88950C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2018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年起，按照市委市政府的要求，南京市全面开展排水系统普查工作。针对“污水系统高水位、低浓度的问题，结合雨水，河道水系，统</w:t>
      </w:r>
    </w:p>
    <w:p w14:paraId="1F5D7119" w14:textId="1C2C6D98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筹兼顾关联性的河湖排口、雨水管网调查，重点查找河水倒灌、雨污管网混接、错接、破损、淤堵等缺陷。通过检测后的工程整改，实现“污水不下河、河水不倒灌、防洪不阻水，雨天少漫溢的功能目标，最终彻底实现雨污分流，提高城市排水和治污能力，为水环境质量提升做好坚实基础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2019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月，城南污水收集系统排水管网检测排查项目获得立项批复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《关于城南污水收集系统排水管网检测排查实施方案的批复》，立项文号为宁水排</w:t>
      </w:r>
      <w:r w:rsidR="00DC570E" w:rsidRPr="00DC570E">
        <w:rPr>
          <w:rFonts w:ascii="仿宋_GB2312" w:eastAsia="仿宋_GB2312" w:hint="eastAsia"/>
          <w:sz w:val="32"/>
          <w:szCs w:val="32"/>
          <w:lang w:eastAsia="zh-CN"/>
        </w:rPr>
        <w:t>〔2019〕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178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号。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2019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~2020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8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月物探测绘工作完成约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121%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，节点井贴牌全部完成，水质检测工作完成约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91.1%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，即查即改全部完成。项目同步对前期板桥新城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(2018.03)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、岱山保障房片区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(2018.10)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、板桥街道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(2018.11)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、雨花经济开发区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(2018.11)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等片区开展的所辖区域内管网排查工作进行系统的梳理、完善、整合、汇总，形成了《城南污水收集系统排水管网检测排查项目排查成果报告》。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2020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4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月，南京市打好污染防治攻坚战指挥部印发了《南京市城镇污水处理提质增效精准攻坚</w:t>
      </w:r>
      <w:r w:rsidR="00A93FFC" w:rsidRPr="00FB144F">
        <w:rPr>
          <w:rFonts w:ascii="Times New Roman" w:eastAsia="方正仿宋_GBK" w:hAnsi="Times New Roman" w:cs="Times New Roman"/>
          <w:sz w:val="30"/>
          <w:szCs w:val="30"/>
          <w:lang w:eastAsia="zh-CN"/>
        </w:rPr>
        <w:t>“333”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行动方</w:t>
      </w:r>
      <w:r w:rsidR="00B967EF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》，明确提出到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2021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年底全市建成区无污水直排口，无污水收集管网覆盖空白区，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50%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以上面积建成污水处理提质增效达标区，着力提升污水收集处理水平，到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2025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年，全市重要水体达到清水绿岸、鱼翔浅底的目标，建成区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80%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以上面积建成“污水处理提质增效达标区创建省级污水处理提质增效达标城市。基本实现污水管网全覆盖，污水全收集、全处理，实现“污水不入河、外水不进管、进厂高浓度，减排高效能”，全面构建“源头管控到位、厂网衔接配套、管网养护精细、污水处理优质、污泥处置安全”的城镇污水收集处理新格局</w:t>
      </w:r>
    </w:p>
    <w:p w14:paraId="0A4DC2C5" w14:textId="45EA326D" w:rsidR="00835B21" w:rsidRDefault="00466144">
      <w:pPr>
        <w:snapToGrid w:val="0"/>
        <w:spacing w:line="560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为进一步推动污水处理提质增效，提高城南污水处理厂的进水浓度，做好中央环保督察问题整改，消除现状管道的安全隐患，保障管道的安全运行，南京市城市建设投资控股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集团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有限责任公司委托我公司进行《城南污水系统管网排查一专项整治第三批工程》的施工</w:t>
      </w:r>
      <w:r w:rsidR="00A03F3D">
        <w:rPr>
          <w:rFonts w:ascii="宋体" w:eastAsia="宋体" w:hAnsi="宋体" w:cs="宋体" w:hint="eastAsia"/>
          <w:sz w:val="30"/>
          <w:szCs w:val="30"/>
          <w:lang w:eastAsia="zh-CN"/>
        </w:rPr>
        <w:t>图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设计阶段。</w:t>
      </w:r>
    </w:p>
    <w:p w14:paraId="470F8123" w14:textId="5A56563C" w:rsidR="00835B21" w:rsidRDefault="001977C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主要内容：</w:t>
      </w:r>
    </w:p>
    <w:p w14:paraId="1DB472D5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工程位于南京市雨花台区，工程范围为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: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主要包括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条市政污水管道整治，分别位于城南污水系统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A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片区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湖兴路、西苓路、工兵路、青年路、普润路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、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B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片区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岱山西路、岱山中路、天保桥路、邱村街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片区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(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振兴西路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、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F(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振凤路、振翔路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)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。</w:t>
      </w:r>
    </w:p>
    <w:p w14:paraId="1ABDEAD3" w14:textId="7C87B262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宋体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工程规模共涉及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条市政污水管道整治，共整治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DN300</w:t>
      </w:r>
      <w:r w:rsidR="00B967EF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~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DN600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6191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米，其中开挖更换现状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DN300</w:t>
      </w:r>
      <w:r w:rsidR="00B967EF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~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DN600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污水管约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5328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米（其中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DN300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80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DN400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4976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米、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DN500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50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DN600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222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米），微顶管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DN600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440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米，通过非开挖修复、机械清理等方式整治修复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DN300</w:t>
      </w:r>
      <w:r w:rsidR="00FF7A8C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~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DN400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污水管约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423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米（其中非开挖修复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DN400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热水固化的管道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353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米和机械清理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70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米）；新增液位计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6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处，流量计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4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处，污水检查井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座（其中钢筋混凝土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199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座和检查井修复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座），微顶管（钢护筒下沉）井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7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座，清疏检测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3400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米，同步开挖更换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DN300</w:t>
      </w:r>
      <w:r w:rsidR="00B967EF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~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DN1400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雨水管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52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米（其中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DN300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16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DN500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DN1400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管道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24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米）等。</w:t>
      </w:r>
    </w:p>
    <w:p w14:paraId="1D43BD4C" w14:textId="6878A8FB" w:rsidR="00835B21" w:rsidRDefault="001977C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实施方式：用于</w:t>
      </w:r>
      <w:r w:rsidR="00466144"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项目建设阶段工程费用投入。</w:t>
      </w:r>
    </w:p>
    <w:p w14:paraId="76020B20" w14:textId="71CB823E" w:rsidR="00835B21" w:rsidRDefault="001977C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4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资金投入：本项目投资概算约为</w:t>
      </w:r>
      <w:r w:rsidR="00466144"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10904.64</w:t>
      </w:r>
      <w:r w:rsidR="00466144"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万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元，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其中工程费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7061.45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万元，工程建设其他费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3323.92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万元，工程预备费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519.27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万元，所需资金由市级水务资金统筹安排。</w:t>
      </w:r>
    </w:p>
    <w:p w14:paraId="09328820" w14:textId="76522357" w:rsidR="00835B21" w:rsidRDefault="001977C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5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资金使用：专项债资金全部实行专账管理、专款专用，严格执行集团公司资金审批办法，按月度资金计划把控项目支出，确保专项</w:t>
      </w:r>
      <w:r w:rsidR="00466144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债</w:t>
      </w:r>
      <w:r w:rsidR="00466144"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资金能最大限度地发挥其作用，实现巨大的社会效益。</w:t>
      </w:r>
    </w:p>
    <w:p w14:paraId="125ECCF8" w14:textId="77777777" w:rsidR="00835B21" w:rsidRDefault="00466144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（二）绩效目标</w:t>
      </w:r>
    </w:p>
    <w:p w14:paraId="798956D2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）社会效益</w:t>
      </w:r>
    </w:p>
    <w:p w14:paraId="0733930A" w14:textId="7A3972C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本工程的建设保障了城南污水处理厂的正常运行，恢复污水主管通水功能，能有效</w:t>
      </w:r>
      <w:r w:rsidR="00901B42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改善水环境，保证地区的可持续发展，为居民提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供更好的生活环境。</w:t>
      </w:r>
    </w:p>
    <w:p w14:paraId="1AE99BFC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）环境效益</w:t>
      </w:r>
    </w:p>
    <w:p w14:paraId="748832E3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项目实施后可以提高污水厂进厂浓度，提升了城南污水系统水环境质量，减少污水管网渗漏对河道、地下水及土壤的污染，营造水清景美的水生活环境，有力保障了人民的生活质量，最终为长江生态保护修复提供有力支撑。</w:t>
      </w:r>
    </w:p>
    <w:p w14:paraId="73680FAE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）经济效益</w:t>
      </w:r>
    </w:p>
    <w:p w14:paraId="55C6E5E2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尽管污水管网治理工程并不直接产生经济效益，但污水收集和处理是投资环境的重要内容，对于吸引投资具有重要影响。本项目完成后，地区水环境将得到明显改观，水环境污染问题逐步得到解决，有利于投资环境的改善，增加招商引资的吸引力。</w:t>
      </w:r>
    </w:p>
    <w:p w14:paraId="4149A1EA" w14:textId="77777777" w:rsidR="00835B21" w:rsidRDefault="00466144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/>
          <w:sz w:val="30"/>
          <w:szCs w:val="30"/>
          <w:lang w:eastAsia="zh-CN"/>
        </w:rPr>
        <w:t>二、评价情况</w:t>
      </w:r>
    </w:p>
    <w:p w14:paraId="407F2E6C" w14:textId="77777777" w:rsidR="00835B21" w:rsidRDefault="00466144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（一）项目特点分析</w:t>
      </w:r>
    </w:p>
    <w:p w14:paraId="691BAC13" w14:textId="77777777" w:rsidR="00835B21" w:rsidRDefault="00466144">
      <w:pPr>
        <w:snapToGrid w:val="0"/>
        <w:spacing w:line="560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本次改造工程实施，旨在改善雨污混接，提高污水管网质量，减少外水入渗，提升污水处理厂进水浓度。同时为秦淮河水质稳定达标提供保障。</w:t>
      </w:r>
    </w:p>
    <w:p w14:paraId="0030251D" w14:textId="77777777" w:rsidR="00835B21" w:rsidRDefault="00466144">
      <w:pPr>
        <w:snapToGrid w:val="0"/>
        <w:spacing w:line="560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目前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项目内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条道路污水管道已全部改造完成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养护成本明显降低。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绩效评价主要集中为过程指标和产出指标，以评价项目资金管理、项目建设进度、安全生产等相关情况。</w:t>
      </w:r>
    </w:p>
    <w:p w14:paraId="0201526C" w14:textId="77777777" w:rsidR="00835B21" w:rsidRDefault="00466144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（二）评价思路方法</w:t>
      </w:r>
    </w:p>
    <w:p w14:paraId="295F4ED7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项目资金管理评价主要依据《专项债券项目资金使用协议》等对专项债券资金的使用管理要求设置细化指标，进行管理、考核。</w:t>
      </w:r>
    </w:p>
    <w:p w14:paraId="53446C86" w14:textId="77777777" w:rsidR="00835B21" w:rsidRDefault="00466144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lastRenderedPageBreak/>
        <w:t>（三）评价工作情况</w:t>
      </w:r>
    </w:p>
    <w:p w14:paraId="37C5F510" w14:textId="4C9CC575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对照设置的考核指标和评分依据逐项进行跟踪评价，评判各项</w:t>
      </w:r>
      <w:r w:rsidR="00D27F39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指标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实际完成情况。专项债券的使用确保项目建设顺利进行，项目于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20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24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8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开工建设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2026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月完工，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债券资金严格按照资金使用的相关管理要求执行，严格资金使用范围，保证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专项债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资金专款专用。</w:t>
      </w:r>
    </w:p>
    <w:p w14:paraId="46A99F3A" w14:textId="77777777" w:rsidR="00835B21" w:rsidRDefault="00466144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 w:hint="eastAsia"/>
          <w:spacing w:val="-4"/>
          <w:sz w:val="30"/>
          <w:szCs w:val="30"/>
          <w:lang w:eastAsia="zh-CN"/>
        </w:rPr>
        <w:t>（四）</w:t>
      </w: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绩效评价结论</w:t>
      </w:r>
    </w:p>
    <w:p w14:paraId="06DD4453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根据江苏省预算项目支出绩效指标体系，对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城南污水系统管网排查－专项整治第三批工程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专项债券资金从过程、产出、效益、满意度四个维度进行自评价，资金管理规范，项目进展顺利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目前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项目正在建设中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，工程实施过程中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未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发生造成重大社会影响的质量安全事件，综合评分等级为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“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优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”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。</w:t>
      </w:r>
    </w:p>
    <w:p w14:paraId="1E6BDC9E" w14:textId="77777777" w:rsidR="00835B21" w:rsidRDefault="00466144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</w:pPr>
      <w:r>
        <w:rPr>
          <w:rFonts w:ascii="Times New Roman" w:eastAsia="黑体" w:hAnsi="Times New Roman" w:cs="Times New Roman"/>
          <w:sz w:val="30"/>
          <w:szCs w:val="30"/>
          <w:lang w:eastAsia="zh-CN"/>
        </w:rPr>
        <w:t>三、项目绩效</w:t>
      </w:r>
    </w:p>
    <w:p w14:paraId="08043DAB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专项债券主要用于项目建设阶段工程费用的使用，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20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24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8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月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开工建设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2026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2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月完工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。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该项目投产运行后，将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大大消除现状管道的安全隐患，保障管道的安全运行，提高污水收集率，解决系统内部分管道高水位运行等问题，从而提高城市排水和治污能力，降低城南污水处理厂运行负荷，改善南京市水体水环境。</w:t>
      </w:r>
    </w:p>
    <w:p w14:paraId="0275306B" w14:textId="77777777" w:rsidR="00835B21" w:rsidRDefault="00466144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 w:hint="eastAsia"/>
          <w:sz w:val="30"/>
          <w:szCs w:val="30"/>
          <w:lang w:eastAsia="zh-CN"/>
        </w:rPr>
        <w:t>四、存在问题</w:t>
      </w:r>
    </w:p>
    <w:p w14:paraId="0CC94E17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项目已实施结束，无存在问题。</w:t>
      </w:r>
    </w:p>
    <w:p w14:paraId="03ED2C9E" w14:textId="77777777" w:rsidR="00835B21" w:rsidRDefault="00466144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 w:hint="eastAsia"/>
          <w:sz w:val="30"/>
          <w:szCs w:val="30"/>
          <w:lang w:eastAsia="zh-CN"/>
        </w:rPr>
        <w:t>五、有关建议</w:t>
      </w:r>
    </w:p>
    <w:p w14:paraId="1596B44A" w14:textId="77777777" w:rsidR="00835B21" w:rsidRDefault="00466144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与各相关部门加强沟通、做好配合，抓紧推进工程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建设，同步加强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文明施工措施；尽快完成管网整治建设工作，完善建设手续。</w:t>
      </w:r>
    </w:p>
    <w:p w14:paraId="72843394" w14:textId="77777777" w:rsidR="00835B21" w:rsidRDefault="00835B21">
      <w:pPr>
        <w:snapToGrid w:val="0"/>
        <w:spacing w:line="574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pacing w:val="-4"/>
          <w:sz w:val="30"/>
          <w:szCs w:val="30"/>
          <w:lang w:eastAsia="zh-CN"/>
        </w:rPr>
      </w:pPr>
    </w:p>
    <w:p w14:paraId="4ABFCE5F" w14:textId="77777777" w:rsidR="00835B21" w:rsidRDefault="00835B21">
      <w:pPr>
        <w:snapToGrid w:val="0"/>
        <w:spacing w:line="560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</w:p>
    <w:p w14:paraId="20EA1229" w14:textId="77777777" w:rsidR="00835B21" w:rsidRDefault="00466144">
      <w:pPr>
        <w:snapToGrid w:val="0"/>
        <w:spacing w:line="560" w:lineRule="exact"/>
        <w:ind w:firstLineChars="2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附表：江苏省政府专项债券项目资金绩效年度自评价情况表</w:t>
      </w:r>
    </w:p>
    <w:sectPr w:rsidR="00835B21">
      <w:type w:val="continuous"/>
      <w:pgSz w:w="11910" w:h="16840"/>
      <w:pgMar w:top="2098" w:right="1474" w:bottom="1984" w:left="158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305A88" w14:textId="77777777" w:rsidR="00DC570E" w:rsidRDefault="00DC570E" w:rsidP="00DC570E">
      <w:r>
        <w:separator/>
      </w:r>
    </w:p>
  </w:endnote>
  <w:endnote w:type="continuationSeparator" w:id="0">
    <w:p w14:paraId="0203A6C6" w14:textId="77777777" w:rsidR="00DC570E" w:rsidRDefault="00DC570E" w:rsidP="00DC57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16AF1D9-E214-436E-AC51-72ECA664C1C2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黑体_GBK">
    <w:altName w:val="微软雅黑"/>
    <w:charset w:val="86"/>
    <w:family w:val="swiss"/>
    <w:pitch w:val="default"/>
    <w:sig w:usb0="00000000" w:usb1="00000000" w:usb2="00000000" w:usb3="00000000" w:csb0="00040000" w:csb1="00000000"/>
  </w:font>
  <w:font w:name="方正小标宋_GBK">
    <w:altName w:val="微软雅黑"/>
    <w:charset w:val="86"/>
    <w:family w:val="script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CE866D55-047E-4D58-A5F5-C92C67F69657}"/>
  </w:font>
  <w:font w:name="方正楷体_GBK">
    <w:altName w:val="微软雅黑"/>
    <w:charset w:val="86"/>
    <w:family w:val="script"/>
    <w:pitch w:val="default"/>
    <w:sig w:usb0="00000000" w:usb1="00000000" w:usb2="00000000" w:usb3="00000000" w:csb0="00040000" w:csb1="00000000"/>
    <w:embedRegular r:id="rId3" w:fontKey="{9A548266-60F2-4961-A33D-B1FC6A1A4F3D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D51FD34C-DB3B-4EA1-93C5-EE566DE4D28A}"/>
  </w:font>
  <w:font w:name="方正仿宋_GBK">
    <w:altName w:val="微软雅黑"/>
    <w:charset w:val="86"/>
    <w:family w:val="auto"/>
    <w:pitch w:val="default"/>
    <w:sig w:usb0="A00002BF" w:usb1="38CF7CFA" w:usb2="00082016" w:usb3="00000000" w:csb0="00040001" w:csb1="00000000"/>
    <w:embedRegular r:id="rId5" w:subsetted="1" w:fontKey="{C6E00753-B4AC-4990-86C2-1F59801FE25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CC5372D-E131-4E9C-9D2F-CDE64974148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EDD0B2" w14:textId="77777777" w:rsidR="00DC570E" w:rsidRDefault="00DC570E" w:rsidP="00DC570E">
      <w:r>
        <w:separator/>
      </w:r>
    </w:p>
  </w:footnote>
  <w:footnote w:type="continuationSeparator" w:id="0">
    <w:p w14:paraId="351BD7CA" w14:textId="77777777" w:rsidR="00DC570E" w:rsidRDefault="00DC570E" w:rsidP="00DC57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88D2F6A"/>
    <w:multiLevelType w:val="singleLevel"/>
    <w:tmpl w:val="A88D2F6A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0791816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drawingGridHorizontalSpacing w:val="11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TBkNzI1NzBiODNjYzA2NTMyYWY1ZGU1NWVkOTkxYjAifQ=="/>
  </w:docVars>
  <w:rsids>
    <w:rsidRoot w:val="006A0286"/>
    <w:rsid w:val="0000186F"/>
    <w:rsid w:val="0002289D"/>
    <w:rsid w:val="00027842"/>
    <w:rsid w:val="000809AB"/>
    <w:rsid w:val="000F0010"/>
    <w:rsid w:val="001076FD"/>
    <w:rsid w:val="00112A3C"/>
    <w:rsid w:val="0012335B"/>
    <w:rsid w:val="00137AD9"/>
    <w:rsid w:val="00143F9D"/>
    <w:rsid w:val="001977C4"/>
    <w:rsid w:val="001D43CE"/>
    <w:rsid w:val="001E1F08"/>
    <w:rsid w:val="001E6637"/>
    <w:rsid w:val="001F5652"/>
    <w:rsid w:val="002034C4"/>
    <w:rsid w:val="00223670"/>
    <w:rsid w:val="002F39B9"/>
    <w:rsid w:val="00317F35"/>
    <w:rsid w:val="003C29AE"/>
    <w:rsid w:val="003D4D43"/>
    <w:rsid w:val="003F31BD"/>
    <w:rsid w:val="00412A90"/>
    <w:rsid w:val="00427AA3"/>
    <w:rsid w:val="00453872"/>
    <w:rsid w:val="00466144"/>
    <w:rsid w:val="00475968"/>
    <w:rsid w:val="00485FCA"/>
    <w:rsid w:val="00491395"/>
    <w:rsid w:val="00496584"/>
    <w:rsid w:val="004A18F0"/>
    <w:rsid w:val="004B1555"/>
    <w:rsid w:val="004E3E98"/>
    <w:rsid w:val="004F2889"/>
    <w:rsid w:val="005060F6"/>
    <w:rsid w:val="00541FD2"/>
    <w:rsid w:val="0055497B"/>
    <w:rsid w:val="0058181F"/>
    <w:rsid w:val="005C5968"/>
    <w:rsid w:val="005D094F"/>
    <w:rsid w:val="005D61F8"/>
    <w:rsid w:val="006032DC"/>
    <w:rsid w:val="006777F4"/>
    <w:rsid w:val="006876DE"/>
    <w:rsid w:val="006A0286"/>
    <w:rsid w:val="006F1257"/>
    <w:rsid w:val="006F2AB8"/>
    <w:rsid w:val="00705B52"/>
    <w:rsid w:val="0072674E"/>
    <w:rsid w:val="007416BA"/>
    <w:rsid w:val="0075652D"/>
    <w:rsid w:val="00784065"/>
    <w:rsid w:val="007A754E"/>
    <w:rsid w:val="00830C91"/>
    <w:rsid w:val="00835B21"/>
    <w:rsid w:val="008C735A"/>
    <w:rsid w:val="008C7954"/>
    <w:rsid w:val="008D7527"/>
    <w:rsid w:val="008E7CA1"/>
    <w:rsid w:val="008F6FC9"/>
    <w:rsid w:val="00901B42"/>
    <w:rsid w:val="00926E98"/>
    <w:rsid w:val="009469ED"/>
    <w:rsid w:val="0095504B"/>
    <w:rsid w:val="00980C5D"/>
    <w:rsid w:val="009B2D68"/>
    <w:rsid w:val="009D7AD2"/>
    <w:rsid w:val="009F7068"/>
    <w:rsid w:val="00A03F3D"/>
    <w:rsid w:val="00A14DE2"/>
    <w:rsid w:val="00A72387"/>
    <w:rsid w:val="00A863A2"/>
    <w:rsid w:val="00A93FFC"/>
    <w:rsid w:val="00AA24DC"/>
    <w:rsid w:val="00AC69E3"/>
    <w:rsid w:val="00B14C89"/>
    <w:rsid w:val="00B33955"/>
    <w:rsid w:val="00B967EF"/>
    <w:rsid w:val="00BD1F01"/>
    <w:rsid w:val="00C404D0"/>
    <w:rsid w:val="00C4168B"/>
    <w:rsid w:val="00CB64D3"/>
    <w:rsid w:val="00CD3978"/>
    <w:rsid w:val="00CE5804"/>
    <w:rsid w:val="00D20830"/>
    <w:rsid w:val="00D27F39"/>
    <w:rsid w:val="00D71C46"/>
    <w:rsid w:val="00D761FC"/>
    <w:rsid w:val="00D855DD"/>
    <w:rsid w:val="00D85F96"/>
    <w:rsid w:val="00DB1095"/>
    <w:rsid w:val="00DB1BC1"/>
    <w:rsid w:val="00DC570E"/>
    <w:rsid w:val="00DE067D"/>
    <w:rsid w:val="00DE7902"/>
    <w:rsid w:val="00DF053C"/>
    <w:rsid w:val="00DF4DF8"/>
    <w:rsid w:val="00E070F9"/>
    <w:rsid w:val="00E1011A"/>
    <w:rsid w:val="00E65E3F"/>
    <w:rsid w:val="00E70A55"/>
    <w:rsid w:val="00E96755"/>
    <w:rsid w:val="00EB03FD"/>
    <w:rsid w:val="00ED06B2"/>
    <w:rsid w:val="00EF65E3"/>
    <w:rsid w:val="00F161C4"/>
    <w:rsid w:val="00F35A70"/>
    <w:rsid w:val="00F4202D"/>
    <w:rsid w:val="00F94EB0"/>
    <w:rsid w:val="00FB48F8"/>
    <w:rsid w:val="00FB5E7E"/>
    <w:rsid w:val="00FC405A"/>
    <w:rsid w:val="00FC7877"/>
    <w:rsid w:val="00FF7A8C"/>
    <w:rsid w:val="04DA2331"/>
    <w:rsid w:val="08A75CFA"/>
    <w:rsid w:val="0A8078EF"/>
    <w:rsid w:val="0C0D548E"/>
    <w:rsid w:val="13A91139"/>
    <w:rsid w:val="170A0514"/>
    <w:rsid w:val="174C3434"/>
    <w:rsid w:val="1BD37048"/>
    <w:rsid w:val="1F8703AA"/>
    <w:rsid w:val="28C818B9"/>
    <w:rsid w:val="331217FF"/>
    <w:rsid w:val="37104552"/>
    <w:rsid w:val="4284749E"/>
    <w:rsid w:val="4506515E"/>
    <w:rsid w:val="48A57CEB"/>
    <w:rsid w:val="498D09C8"/>
    <w:rsid w:val="4E6768E3"/>
    <w:rsid w:val="581910E2"/>
    <w:rsid w:val="5C4E1BEB"/>
    <w:rsid w:val="6008725C"/>
    <w:rsid w:val="63CC1360"/>
    <w:rsid w:val="6B7C455F"/>
    <w:rsid w:val="6C4F258B"/>
    <w:rsid w:val="7D3453B2"/>
    <w:rsid w:val="7E394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A795C4"/>
  <w15:docId w15:val="{BEAF3DF5-3F44-4A45-B26F-8EC7443F1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uiPriority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pPr>
      <w:widowControl w:val="0"/>
    </w:pPr>
    <w:rPr>
      <w:sz w:val="22"/>
      <w:szCs w:val="22"/>
      <w:lang w:eastAsia="en-US"/>
    </w:rPr>
  </w:style>
  <w:style w:type="paragraph" w:styleId="1">
    <w:name w:val="heading 1"/>
    <w:basedOn w:val="a"/>
    <w:next w:val="a"/>
    <w:uiPriority w:val="1"/>
    <w:qFormat/>
    <w:pPr>
      <w:ind w:left="100"/>
      <w:outlineLvl w:val="0"/>
    </w:pPr>
    <w:rPr>
      <w:rFonts w:ascii="宋体" w:eastAsia="宋体" w:hAnsi="宋体"/>
      <w:sz w:val="36"/>
      <w:szCs w:val="36"/>
    </w:rPr>
  </w:style>
  <w:style w:type="paragraph" w:styleId="2">
    <w:name w:val="heading 2"/>
    <w:basedOn w:val="a"/>
    <w:next w:val="a"/>
    <w:uiPriority w:val="1"/>
    <w:qFormat/>
    <w:pPr>
      <w:ind w:left="-21" w:firstLine="2592"/>
      <w:outlineLvl w:val="1"/>
    </w:pPr>
    <w:rPr>
      <w:rFonts w:ascii="宋体" w:eastAsia="宋体" w:hAnsi="宋体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semiHidden/>
    <w:unhideWhenUsed/>
    <w:qFormat/>
  </w:style>
  <w:style w:type="paragraph" w:styleId="a4">
    <w:name w:val="Body Text"/>
    <w:basedOn w:val="a"/>
    <w:uiPriority w:val="1"/>
    <w:qFormat/>
    <w:pPr>
      <w:spacing w:before="207"/>
      <w:ind w:left="120"/>
    </w:pPr>
    <w:rPr>
      <w:rFonts w:ascii="宋体" w:eastAsia="宋体" w:hAnsi="宋体"/>
      <w:sz w:val="30"/>
      <w:szCs w:val="30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annotation reference"/>
    <w:basedOn w:val="a0"/>
    <w:uiPriority w:val="99"/>
    <w:semiHidden/>
    <w:unhideWhenUsed/>
    <w:qFormat/>
    <w:rPr>
      <w:sz w:val="21"/>
      <w:szCs w:val="21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List Paragraph"/>
    <w:basedOn w:val="a"/>
    <w:uiPriority w:val="99"/>
    <w:qFormat/>
  </w:style>
  <w:style w:type="paragraph" w:customStyle="1" w:styleId="TableParagraph">
    <w:name w:val="Table Paragraph"/>
    <w:basedOn w:val="a"/>
    <w:autoRedefine/>
    <w:uiPriority w:val="1"/>
    <w:qFormat/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方正黑体_GBK" w:hAnsi="方正黑体_GBK" w:cs="方正黑体_GBK"/>
      <w:color w:val="000000"/>
      <w:sz w:val="24"/>
      <w:szCs w:val="24"/>
      <w:lang w:eastAsia="en-US"/>
    </w:r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satMod val="300000"/>
                <a:tint val="50000"/>
              </a:schemeClr>
            </a:gs>
            <a:gs pos="35000">
              <a:schemeClr val="phClr">
                <a:satMod val="300000"/>
                <a:tint val="37000"/>
              </a:schemeClr>
            </a:gs>
            <a:gs pos="100000">
              <a:schemeClr val="phClr">
                <a:satMod val="350000"/>
                <a:tint val="1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atMod val="130000"/>
                <a:shade val="51000"/>
              </a:schemeClr>
            </a:gs>
            <a:gs pos="80000">
              <a:schemeClr val="phClr">
                <a:satMod val="130000"/>
                <a:shade val="93000"/>
              </a:schemeClr>
            </a:gs>
            <a:gs pos="100000">
              <a:schemeClr val="phClr">
                <a:satMod val="135000"/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atMod val="105000"/>
              <a:shade val="9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atMod val="350000"/>
                <a:tint val="40000"/>
              </a:schemeClr>
            </a:gs>
            <a:gs pos="40000">
              <a:schemeClr val="phClr">
                <a:satMod val="350000"/>
                <a:shade val="99000"/>
                <a:tint val="45000"/>
              </a:schemeClr>
            </a:gs>
            <a:gs pos="100000">
              <a:schemeClr val="phClr">
                <a:satMod val="255000"/>
                <a:shade val="20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satMod val="300000"/>
                <a:tint val="80000"/>
              </a:schemeClr>
            </a:gs>
            <a:gs pos="100000">
              <a:schemeClr val="phClr">
                <a:satMod val="200000"/>
                <a:shade val="3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403</Words>
  <Characters>2302</Characters>
  <Application>Microsoft Office Word</Application>
  <DocSecurity>0</DocSecurity>
  <Lines>19</Lines>
  <Paragraphs>5</Paragraphs>
  <ScaleCrop>false</ScaleCrop>
  <Company>Microsoft</Company>
  <LinksUpToDate>false</LinksUpToDate>
  <CharactersWithSpaces>2700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张肖军(拟稿)</dc:creator>
  <cp:lastModifiedBy>雪婷 李</cp:lastModifiedBy>
  <cp:revision>26</cp:revision>
  <dcterms:created xsi:type="dcterms:W3CDTF">2022-06-30T02:48:00Z</dcterms:created>
  <dcterms:modified xsi:type="dcterms:W3CDTF">2026-06-26T03:28:00Z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3953797F1CAA489BAD6A3DDEA55D61D7_13</vt:lpwstr>
  </property>
  <property fmtid="{D5CDD505-2E9C-101B-9397-08002B2CF9AE}" pid="4" name="KSOTemplateDocerSaveRecord">
    <vt:lpwstr>eyJoZGlkIjoiYjg4OWZjMjdiYzAwZWZhZjAxZmRiZGY5ZTY0NjU0MjciLCJ1c2VySWQiOiI0Mjk4MzU0MjUifQ==</vt:lpwstr>
  </property>
</Properties>
</file>